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DA2B0" w14:textId="276714D8" w:rsidR="00312BFF" w:rsidRPr="00FB2013" w:rsidRDefault="00312BFF" w:rsidP="00312BFF">
      <w:pPr>
        <w:pStyle w:val="a4"/>
        <w:tabs>
          <w:tab w:val="left" w:pos="8190"/>
        </w:tabs>
        <w:spacing w:after="0" w:afterAutospacing="0"/>
        <w:rPr>
          <w:rFonts w:ascii="Times New Roman" w:hAnsi="Times New Roman"/>
          <w:iCs/>
          <w:sz w:val="28"/>
          <w:szCs w:val="28"/>
          <w:lang w:val="en-US"/>
        </w:rPr>
      </w:pPr>
      <w:bookmarkStart w:id="0" w:name="_Hlk83979086"/>
      <w:bookmarkStart w:id="1" w:name="OLE_LINK3"/>
      <w:r w:rsidRPr="00FB2013">
        <w:rPr>
          <w:rFonts w:ascii="Times New Roman" w:eastAsia="ＭＳ ゴシック" w:hAnsi="Times New Roman"/>
          <w:sz w:val="28"/>
          <w:szCs w:val="28"/>
          <w:lang w:val="en-US"/>
        </w:rPr>
        <w:t>3GPP TSG RAN WG1#10</w:t>
      </w:r>
      <w:r w:rsidR="00FB2013">
        <w:rPr>
          <w:rFonts w:ascii="Times New Roman" w:eastAsia="ＭＳ ゴシック" w:hAnsi="Times New Roman"/>
          <w:sz w:val="28"/>
          <w:szCs w:val="28"/>
          <w:lang w:val="en-US"/>
        </w:rPr>
        <w:t>7</w:t>
      </w:r>
      <w:r w:rsidRPr="00FB2013">
        <w:rPr>
          <w:rFonts w:ascii="Times New Roman" w:eastAsia="ＭＳ ゴシック" w:hAnsi="Times New Roman"/>
          <w:sz w:val="28"/>
          <w:szCs w:val="28"/>
          <w:lang w:val="en-US"/>
        </w:rPr>
        <w:t>-e</w:t>
      </w:r>
      <w:r w:rsidRPr="00FB2013">
        <w:rPr>
          <w:rFonts w:ascii="Times New Roman" w:eastAsia="ＭＳ ゴシック" w:hAnsi="Times New Roman"/>
          <w:sz w:val="28"/>
          <w:szCs w:val="28"/>
          <w:lang w:val="en-US"/>
        </w:rPr>
        <w:tab/>
      </w:r>
      <w:r w:rsidR="00713CBC" w:rsidRPr="00713CBC">
        <w:rPr>
          <w:rFonts w:ascii="Times New Roman" w:eastAsia="ＭＳ ゴシック" w:hAnsi="Times New Roman"/>
          <w:sz w:val="28"/>
          <w:szCs w:val="28"/>
          <w:lang w:val="en-US"/>
        </w:rPr>
        <w:t>R1-2112013</w:t>
      </w:r>
    </w:p>
    <w:p w14:paraId="1E070C49" w14:textId="1146FEB3" w:rsidR="00312BFF" w:rsidRPr="00595AF2" w:rsidRDefault="00312BFF" w:rsidP="00312BFF">
      <w:pPr>
        <w:pStyle w:val="a4"/>
        <w:tabs>
          <w:tab w:val="right" w:pos="9072"/>
          <w:tab w:val="right" w:pos="10206"/>
        </w:tabs>
        <w:spacing w:after="0" w:afterAutospacing="0"/>
        <w:rPr>
          <w:rFonts w:ascii="Times New Roman" w:eastAsia="SimSun" w:hAnsi="Times New Roman"/>
          <w:sz w:val="28"/>
          <w:szCs w:val="28"/>
          <w:lang w:val="en-US" w:eastAsia="zh-CN"/>
        </w:rPr>
      </w:pPr>
      <w:r w:rsidRPr="00FB2013">
        <w:rPr>
          <w:rFonts w:ascii="Times New Roman" w:eastAsia="SimSun" w:hAnsi="Times New Roman"/>
          <w:sz w:val="28"/>
          <w:szCs w:val="28"/>
          <w:lang w:val="en-US" w:eastAsia="zh-CN"/>
        </w:rPr>
        <w:t xml:space="preserve">e-Meeting, </w:t>
      </w:r>
      <w:r w:rsidR="00FB2013">
        <w:rPr>
          <w:rFonts w:ascii="Times New Roman" w:eastAsia="SimSun" w:hAnsi="Times New Roman"/>
          <w:sz w:val="28"/>
          <w:szCs w:val="28"/>
          <w:lang w:val="en-US" w:eastAsia="zh-CN"/>
        </w:rPr>
        <w:t>November</w:t>
      </w:r>
      <w:r w:rsidR="00CE3234" w:rsidRPr="00FB2013">
        <w:rPr>
          <w:rFonts w:ascii="Times New Roman" w:eastAsia="SimSun" w:hAnsi="Times New Roman"/>
          <w:sz w:val="28"/>
          <w:szCs w:val="28"/>
          <w:lang w:val="en-US" w:eastAsia="zh-CN"/>
        </w:rPr>
        <w:t xml:space="preserve"> 11th – 19th, 2021</w:t>
      </w:r>
    </w:p>
    <w:bookmarkEnd w:id="0"/>
    <w:p w14:paraId="43416F0B" w14:textId="2BCDE4A1" w:rsidR="00143FE8" w:rsidRPr="00312BFF"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2" w:name="_Ref133120545"/>
      <w:bookmarkEnd w:id="1"/>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3" w:name="_Hlk46759199"/>
      <w:r w:rsidR="00BB76EE">
        <w:rPr>
          <w:b/>
          <w:sz w:val="28"/>
          <w:szCs w:val="28"/>
          <w:lang w:val="en-US"/>
        </w:rPr>
        <w:t>E</w:t>
      </w:r>
      <w:r w:rsidR="00F711E3" w:rsidRPr="008B1C02">
        <w:rPr>
          <w:b/>
          <w:sz w:val="28"/>
          <w:szCs w:val="28"/>
          <w:lang w:val="en-US"/>
        </w:rPr>
        <w:t>nhancements for unlicensed band URLLC/</w:t>
      </w:r>
      <w:proofErr w:type="spellStart"/>
      <w:r w:rsidR="00F711E3" w:rsidRPr="008B1C02">
        <w:rPr>
          <w:b/>
          <w:sz w:val="28"/>
          <w:szCs w:val="28"/>
          <w:lang w:val="en-US"/>
        </w:rPr>
        <w:t>IIoT</w:t>
      </w:r>
      <w:bookmarkEnd w:id="3"/>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4" w:name="DocumentFor"/>
      <w:bookmarkEnd w:id="4"/>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2"/>
    </w:p>
    <w:p w14:paraId="799E22E3" w14:textId="406EA54B"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w:t>
      </w:r>
      <w:proofErr w:type="spellStart"/>
      <w:r w:rsidR="006A02C0" w:rsidRPr="006A02C0">
        <w:rPr>
          <w:szCs w:val="24"/>
        </w:rPr>
        <w:t>IIoT</w:t>
      </w:r>
      <w:proofErr w:type="spellEnd"/>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w:t>
      </w:r>
      <w:r w:rsidR="00E663A9">
        <w:rPr>
          <w:rFonts w:eastAsiaTheme="minorEastAsia"/>
          <w:szCs w:val="24"/>
          <w:lang w:val="en-US"/>
        </w:rPr>
        <w:t>derably controllable/sporadic</w:t>
      </w:r>
      <w:r w:rsidR="00362522" w:rsidRPr="008B1C02">
        <w:rPr>
          <w:rFonts w:eastAsiaTheme="minorEastAsia"/>
          <w:szCs w:val="24"/>
          <w:lang w:val="en-US"/>
        </w:rPr>
        <w:t xml:space="preserve"> and thus collisions and/or interference have much less impact on the implementation of URLLC/</w:t>
      </w:r>
      <w:proofErr w:type="spellStart"/>
      <w:r w:rsidR="00362522" w:rsidRPr="008B1C02">
        <w:rPr>
          <w:rFonts w:eastAsiaTheme="minorEastAsia"/>
          <w:szCs w:val="24"/>
          <w:lang w:val="en-US"/>
        </w:rPr>
        <w:t>IIoT</w:t>
      </w:r>
      <w:proofErr w:type="spellEnd"/>
      <w:r w:rsidR="00362522" w:rsidRPr="008B1C02">
        <w:rPr>
          <w:rFonts w:eastAsiaTheme="minorEastAsia"/>
          <w:szCs w:val="24"/>
          <w:lang w:val="en-US"/>
        </w:rPr>
        <w: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0D39B2A"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6FD32F3B" w14:textId="0BBE02A5"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 xml:space="preserve">IP (idle period): </w:t>
      </w:r>
      <w:proofErr w:type="spellStart"/>
      <w:r w:rsidRPr="00570BB2">
        <w:rPr>
          <w:rFonts w:eastAsiaTheme="minorEastAsia"/>
          <w:i/>
          <w:szCs w:val="24"/>
        </w:rPr>
        <w:t>T</w:t>
      </w:r>
      <w:r w:rsidRPr="00570BB2">
        <w:rPr>
          <w:rFonts w:eastAsiaTheme="minorEastAsia"/>
          <w:i/>
          <w:szCs w:val="24"/>
          <w:vertAlign w:val="subscript"/>
        </w:rPr>
        <w:t>z</w:t>
      </w:r>
      <w:proofErr w:type="spellEnd"/>
      <w:r w:rsidRPr="00570BB2">
        <w:rPr>
          <w:rFonts w:eastAsiaTheme="minorEastAsia"/>
          <w:i/>
          <w:szCs w:val="24"/>
        </w:rPr>
        <w:t xml:space="preserve"> = </w:t>
      </w:r>
      <w:proofErr w:type="gramStart"/>
      <w:r w:rsidRPr="00570BB2">
        <w:rPr>
          <w:rFonts w:eastAsiaTheme="minorEastAsia"/>
          <w:szCs w:val="24"/>
        </w:rPr>
        <w:t>max(</w:t>
      </w:r>
      <w:proofErr w:type="gramEnd"/>
      <w:r w:rsidRPr="00570BB2">
        <w:rPr>
          <w:rFonts w:eastAsiaTheme="minorEastAsia"/>
          <w:szCs w:val="24"/>
        </w:rPr>
        <w:t>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13C7E877" w14:textId="005CCCD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0089305D">
        <w:rPr>
          <w:rFonts w:eastAsiaTheme="minorEastAsia"/>
          <w:szCs w:val="24"/>
        </w:rPr>
        <w:t xml:space="preserve"> Clause 4.0</w:t>
      </w:r>
      <w:r w:rsidRPr="00570BB2">
        <w:rPr>
          <w:rFonts w:eastAsiaTheme="minorEastAsia"/>
          <w:szCs w:val="24"/>
        </w:rPr>
        <w:t>.</w:t>
      </w:r>
    </w:p>
    <w:p w14:paraId="772DE4C9"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E5F114" w14:textId="35C048F3" w:rsidR="00B60C71" w:rsidRDefault="00B60C71" w:rsidP="00F0366D">
      <w:pPr>
        <w:adjustRightInd w:val="0"/>
        <w:spacing w:after="0" w:afterAutospacing="0"/>
        <w:rPr>
          <w:rFonts w:eastAsiaTheme="minorEastAsia"/>
          <w:szCs w:val="24"/>
          <w:lang w:val="en-US"/>
        </w:rPr>
      </w:pPr>
    </w:p>
    <w:p w14:paraId="2A1ECFE1" w14:textId="7AD1F30A" w:rsidR="00E42D4D" w:rsidRPr="00E42D4D" w:rsidRDefault="008066D3" w:rsidP="00E42D4D">
      <w:pPr>
        <w:pStyle w:val="10"/>
        <w:numPr>
          <w:ilvl w:val="0"/>
          <w:numId w:val="10"/>
        </w:numPr>
        <w:spacing w:before="0" w:after="180"/>
        <w:rPr>
          <w:rFonts w:ascii="Times New Roman" w:hAnsi="Times New Roman"/>
        </w:rPr>
      </w:pPr>
      <w:r w:rsidRPr="008066D3">
        <w:rPr>
          <w:rFonts w:ascii="Times New Roman" w:hAnsi="Times New Roman"/>
        </w:rPr>
        <w:t>SS/PBCH block transmission in FBE mode with UE FFP configuration</w:t>
      </w:r>
    </w:p>
    <w:p w14:paraId="35CA6CD0" w14:textId="1925666C" w:rsidR="00D94A0C" w:rsidRDefault="00154377" w:rsidP="00375C87">
      <w:pPr>
        <w:adjustRightInd w:val="0"/>
        <w:spacing w:after="0" w:afterAutospacing="0"/>
        <w:rPr>
          <w:rFonts w:eastAsiaTheme="minorEastAsia"/>
          <w:szCs w:val="24"/>
        </w:rPr>
      </w:pPr>
      <w:r>
        <w:rPr>
          <w:rFonts w:eastAsiaTheme="minorEastAsia"/>
          <w:szCs w:val="24"/>
        </w:rPr>
        <w:t>We believe that t</w:t>
      </w:r>
      <w:r w:rsidR="00375C87">
        <w:rPr>
          <w:rFonts w:eastAsiaTheme="minorEastAsia"/>
          <w:szCs w:val="24"/>
        </w:rPr>
        <w:t xml:space="preserve">he basic functional framework for </w:t>
      </w:r>
      <w:r w:rsidR="008F5067">
        <w:rPr>
          <w:rFonts w:eastAsiaTheme="minorEastAsia"/>
          <w:szCs w:val="24"/>
        </w:rPr>
        <w:t>adopting UE FFP has been</w:t>
      </w:r>
      <w:r w:rsidR="00375C87">
        <w:rPr>
          <w:rFonts w:eastAsiaTheme="minorEastAsia"/>
          <w:szCs w:val="24"/>
        </w:rPr>
        <w:t xml:space="preserve"> formed based on achieved agreements during previous meetings</w:t>
      </w:r>
      <w:r w:rsidR="00E2707A">
        <w:rPr>
          <w:rFonts w:eastAsiaTheme="minorEastAsia"/>
          <w:szCs w:val="24"/>
        </w:rPr>
        <w:t xml:space="preserve"> [2]</w:t>
      </w:r>
      <w:r w:rsidR="00375C87">
        <w:rPr>
          <w:rFonts w:eastAsiaTheme="minorEastAsia"/>
          <w:szCs w:val="24"/>
        </w:rPr>
        <w:t>.</w:t>
      </w:r>
      <w:r>
        <w:rPr>
          <w:rFonts w:eastAsiaTheme="minorEastAsia"/>
          <w:szCs w:val="24"/>
        </w:rPr>
        <w:t xml:space="preserve"> Thus,</w:t>
      </w:r>
      <w:r w:rsidR="00735B93">
        <w:rPr>
          <w:rFonts w:eastAsiaTheme="minorEastAsia"/>
          <w:szCs w:val="24"/>
        </w:rPr>
        <w:t xml:space="preserve"> t</w:t>
      </w:r>
      <w:r w:rsidR="004B4861">
        <w:rPr>
          <w:rFonts w:eastAsiaTheme="minorEastAsia"/>
          <w:szCs w:val="24"/>
        </w:rPr>
        <w:t>he consequent work</w:t>
      </w:r>
      <w:r w:rsidR="004A253B">
        <w:rPr>
          <w:rFonts w:eastAsiaTheme="minorEastAsia"/>
          <w:szCs w:val="24"/>
        </w:rPr>
        <w:t xml:space="preserve"> is</w:t>
      </w:r>
      <w:r w:rsidR="00735B93">
        <w:rPr>
          <w:rFonts w:eastAsiaTheme="minorEastAsia"/>
          <w:szCs w:val="24"/>
        </w:rPr>
        <w:t xml:space="preserve"> to further improve the overall system</w:t>
      </w:r>
      <w:r w:rsidR="00241A68">
        <w:rPr>
          <w:rFonts w:eastAsiaTheme="minorEastAsia"/>
          <w:szCs w:val="24"/>
        </w:rPr>
        <w:t>, in addition to the basic functionalities</w:t>
      </w:r>
      <w:r w:rsidR="00735B93">
        <w:rPr>
          <w:rFonts w:eastAsiaTheme="minorEastAsia"/>
          <w:szCs w:val="24"/>
        </w:rPr>
        <w:t>.</w:t>
      </w:r>
    </w:p>
    <w:p w14:paraId="18AD31BD" w14:textId="0025617B" w:rsidR="00375C87" w:rsidRDefault="00375C87" w:rsidP="00375C87">
      <w:pPr>
        <w:adjustRightInd w:val="0"/>
        <w:spacing w:after="0" w:afterAutospacing="0"/>
        <w:rPr>
          <w:rFonts w:eastAsiaTheme="minorEastAsia"/>
          <w:szCs w:val="24"/>
        </w:rPr>
      </w:pPr>
    </w:p>
    <w:p w14:paraId="35194BC1" w14:textId="0EC5F651" w:rsidR="007D5E44" w:rsidRDefault="00FC79C3" w:rsidP="00375C87">
      <w:pPr>
        <w:adjustRightInd w:val="0"/>
        <w:spacing w:after="0" w:afterAutospacing="0"/>
        <w:rPr>
          <w:rFonts w:eastAsiaTheme="minorEastAsia"/>
          <w:szCs w:val="24"/>
        </w:rPr>
      </w:pPr>
      <w:r>
        <w:rPr>
          <w:rFonts w:eastAsiaTheme="minorEastAsia"/>
          <w:szCs w:val="24"/>
        </w:rPr>
        <w:t xml:space="preserve">Based on the current gNB FFP + UE FFP framework, periodicity of UE FFP could be different from that of gNB FFP and idle periods could be misaligned between gNB FFP and UE FFP. Then, it is unavoidable that a </w:t>
      </w:r>
      <w:r w:rsidR="003207AB">
        <w:rPr>
          <w:rFonts w:eastAsiaTheme="minorEastAsia"/>
          <w:szCs w:val="24"/>
        </w:rPr>
        <w:t xml:space="preserve">UE initiated </w:t>
      </w:r>
      <w:r>
        <w:rPr>
          <w:rFonts w:eastAsiaTheme="minorEastAsia"/>
          <w:szCs w:val="24"/>
        </w:rPr>
        <w:t>CO</w:t>
      </w:r>
      <w:r w:rsidR="003207AB">
        <w:rPr>
          <w:rFonts w:eastAsiaTheme="minorEastAsia"/>
          <w:szCs w:val="24"/>
        </w:rPr>
        <w:t>T</w:t>
      </w:r>
      <w:r>
        <w:rPr>
          <w:rFonts w:eastAsiaTheme="minorEastAsia"/>
          <w:szCs w:val="24"/>
        </w:rPr>
        <w:t xml:space="preserve"> in a UE FFP occupies the channel access opportunities for important DL transmission, e.g., SS/PBCH block transmission which is more essential from the overall system perspective point of view.</w:t>
      </w:r>
      <w:r w:rsidR="00B545D0">
        <w:rPr>
          <w:rFonts w:eastAsiaTheme="minorEastAsia"/>
          <w:szCs w:val="24"/>
        </w:rPr>
        <w:t xml:space="preserve"> For example, as illustrated in Figure 1, even though the gNB </w:t>
      </w:r>
      <w:r w:rsidR="00A62526">
        <w:rPr>
          <w:rFonts w:eastAsiaTheme="minorEastAsia"/>
          <w:szCs w:val="24"/>
        </w:rPr>
        <w:t>have the chance to</w:t>
      </w:r>
      <w:r w:rsidR="00B545D0">
        <w:rPr>
          <w:rFonts w:eastAsiaTheme="minorEastAsia"/>
          <w:szCs w:val="24"/>
        </w:rPr>
        <w:t xml:space="preserve"> </w:t>
      </w:r>
      <w:r w:rsidR="00720295">
        <w:rPr>
          <w:rFonts w:eastAsiaTheme="minorEastAsia"/>
          <w:szCs w:val="24"/>
        </w:rPr>
        <w:t>s</w:t>
      </w:r>
      <w:r w:rsidR="003207AB">
        <w:rPr>
          <w:rFonts w:eastAsiaTheme="minorEastAsia"/>
          <w:szCs w:val="24"/>
        </w:rPr>
        <w:t>hare the UE initiated COT</w:t>
      </w:r>
      <w:r w:rsidR="00720295">
        <w:rPr>
          <w:rFonts w:eastAsiaTheme="minorEastAsia"/>
          <w:szCs w:val="24"/>
        </w:rPr>
        <w:t xml:space="preserve"> for SS/PBCH block transmission, only the first SS/PBCH block can be transmitted.</w:t>
      </w:r>
      <w:r>
        <w:rPr>
          <w:rFonts w:eastAsiaTheme="minorEastAsia"/>
          <w:szCs w:val="24"/>
        </w:rPr>
        <w:t xml:space="preserve"> Thus, although the proposal of ceasing UL transmissions during gNB idle period is </w:t>
      </w:r>
      <w:r>
        <w:rPr>
          <w:rFonts w:eastAsiaTheme="minorEastAsia"/>
          <w:szCs w:val="24"/>
        </w:rPr>
        <w:lastRenderedPageBreak/>
        <w:t>controversial according to the previous discussions, we believe that at least providing some protections to important DL transmissions such as SS/PBCH</w:t>
      </w:r>
      <w:r w:rsidR="00A62526">
        <w:rPr>
          <w:rFonts w:eastAsiaTheme="minorEastAsia"/>
          <w:szCs w:val="24"/>
        </w:rPr>
        <w:t xml:space="preserve"> block transmission</w:t>
      </w:r>
      <w:r>
        <w:rPr>
          <w:rFonts w:eastAsiaTheme="minorEastAsia"/>
          <w:szCs w:val="24"/>
        </w:rPr>
        <w:t xml:space="preserve"> is still necessary and beneficial.</w:t>
      </w:r>
    </w:p>
    <w:p w14:paraId="664DBDA7" w14:textId="4F71ACB9" w:rsidR="00B545D0" w:rsidRDefault="00B545D0" w:rsidP="00375C87">
      <w:pPr>
        <w:adjustRightInd w:val="0"/>
        <w:spacing w:after="0" w:afterAutospacing="0"/>
        <w:rPr>
          <w:rFonts w:eastAsiaTheme="minorEastAsia"/>
          <w:szCs w:val="24"/>
        </w:rPr>
      </w:pPr>
    </w:p>
    <w:p w14:paraId="56FC151D" w14:textId="13B5AEEC" w:rsidR="00B545D0" w:rsidRDefault="00B545D0" w:rsidP="00B545D0">
      <w:pPr>
        <w:adjustRightInd w:val="0"/>
        <w:spacing w:after="0" w:afterAutospacing="0"/>
        <w:jc w:val="center"/>
        <w:rPr>
          <w:rFonts w:eastAsiaTheme="minorEastAsia"/>
          <w:szCs w:val="24"/>
        </w:rPr>
      </w:pPr>
      <w:r>
        <w:rPr>
          <w:rFonts w:eastAsiaTheme="minorEastAsia"/>
          <w:noProof/>
          <w:szCs w:val="24"/>
        </w:rPr>
        <w:drawing>
          <wp:inline distT="0" distB="0" distL="0" distR="0" wp14:anchorId="5B51E941" wp14:editId="54DF4061">
            <wp:extent cx="5215050" cy="177770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6250" cy="1781518"/>
                    </a:xfrm>
                    <a:prstGeom prst="rect">
                      <a:avLst/>
                    </a:prstGeom>
                    <a:noFill/>
                    <a:ln>
                      <a:noFill/>
                    </a:ln>
                  </pic:spPr>
                </pic:pic>
              </a:graphicData>
            </a:graphic>
          </wp:inline>
        </w:drawing>
      </w:r>
    </w:p>
    <w:p w14:paraId="3C044A82" w14:textId="349A8173" w:rsidR="00B545D0" w:rsidRPr="003243A0" w:rsidRDefault="00B545D0" w:rsidP="00B545D0">
      <w:pPr>
        <w:adjustRightInd w:val="0"/>
        <w:spacing w:after="0" w:afterAutospacing="0"/>
        <w:jc w:val="center"/>
        <w:rPr>
          <w:rFonts w:eastAsiaTheme="minorEastAsia"/>
          <w:b/>
          <w:szCs w:val="24"/>
        </w:rPr>
      </w:pPr>
      <w:r w:rsidRPr="003243A0">
        <w:rPr>
          <w:rFonts w:eastAsiaTheme="minorEastAsia" w:hint="eastAsia"/>
          <w:b/>
          <w:szCs w:val="24"/>
        </w:rPr>
        <w:t>F</w:t>
      </w:r>
      <w:r w:rsidRPr="003243A0">
        <w:rPr>
          <w:rFonts w:eastAsiaTheme="minorEastAsia"/>
          <w:b/>
          <w:szCs w:val="24"/>
        </w:rPr>
        <w:t>igure 1: SS/PBCH block transmission overlaps with UL transmissions.</w:t>
      </w:r>
    </w:p>
    <w:p w14:paraId="5B5C1F04" w14:textId="781EC2CD" w:rsidR="00375C87" w:rsidRDefault="00375C87" w:rsidP="00375C87">
      <w:pPr>
        <w:adjustRightInd w:val="0"/>
        <w:spacing w:after="0" w:afterAutospacing="0"/>
        <w:rPr>
          <w:rFonts w:eastAsiaTheme="minorEastAsia"/>
          <w:szCs w:val="24"/>
        </w:rPr>
      </w:pPr>
    </w:p>
    <w:p w14:paraId="00ADEE1B" w14:textId="5BF45FAA" w:rsidR="00A45072" w:rsidRDefault="00296415" w:rsidP="00F0366D">
      <w:pPr>
        <w:adjustRightInd w:val="0"/>
        <w:spacing w:after="0" w:afterAutospacing="0"/>
        <w:rPr>
          <w:rFonts w:eastAsiaTheme="minorEastAsia"/>
          <w:szCs w:val="24"/>
        </w:rPr>
      </w:pPr>
      <w:r>
        <w:rPr>
          <w:rFonts w:eastAsiaTheme="minorEastAsia"/>
          <w:b/>
          <w:szCs w:val="24"/>
        </w:rPr>
        <w:t>Observation</w:t>
      </w:r>
      <w:r w:rsidR="0017582D">
        <w:rPr>
          <w:rFonts w:eastAsiaTheme="minorEastAsia"/>
          <w:b/>
          <w:szCs w:val="24"/>
        </w:rPr>
        <w:t xml:space="preserve"> 1</w:t>
      </w:r>
      <w:r w:rsidR="00375C87" w:rsidRPr="00375C87">
        <w:rPr>
          <w:rFonts w:eastAsiaTheme="minorEastAsia"/>
          <w:b/>
          <w:szCs w:val="24"/>
        </w:rPr>
        <w:t>:</w:t>
      </w:r>
      <w:r w:rsidR="00375C87">
        <w:rPr>
          <w:rFonts w:eastAsiaTheme="minorEastAsia"/>
          <w:szCs w:val="24"/>
        </w:rPr>
        <w:t xml:space="preserve"> Mechanisms should be introduced to protect </w:t>
      </w:r>
      <w:r w:rsidR="00EA2273">
        <w:rPr>
          <w:rFonts w:eastAsiaTheme="minorEastAsia"/>
          <w:szCs w:val="24"/>
        </w:rPr>
        <w:t xml:space="preserve">important </w:t>
      </w:r>
      <w:r w:rsidR="00375C87">
        <w:rPr>
          <w:rFonts w:eastAsiaTheme="minorEastAsia"/>
          <w:szCs w:val="24"/>
        </w:rPr>
        <w:t>DL transmissions</w:t>
      </w:r>
      <w:r w:rsidR="0017582D">
        <w:rPr>
          <w:rFonts w:eastAsiaTheme="minorEastAsia"/>
          <w:szCs w:val="24"/>
        </w:rPr>
        <w:t xml:space="preserve"> and the corresponding channel access opportunities</w:t>
      </w:r>
      <w:r w:rsidR="00EA2273">
        <w:rPr>
          <w:rFonts w:eastAsiaTheme="minorEastAsia"/>
          <w:szCs w:val="24"/>
        </w:rPr>
        <w:t>, especially</w:t>
      </w:r>
      <w:r w:rsidR="00021B9A">
        <w:rPr>
          <w:rFonts w:eastAsiaTheme="minorEastAsia"/>
          <w:szCs w:val="24"/>
        </w:rPr>
        <w:t xml:space="preserve"> for</w:t>
      </w:r>
      <w:r w:rsidR="00EA2273">
        <w:rPr>
          <w:rFonts w:eastAsiaTheme="minorEastAsia"/>
          <w:szCs w:val="24"/>
        </w:rPr>
        <w:t xml:space="preserve"> SS/PBCH block transmission</w:t>
      </w:r>
      <w:r w:rsidR="00375C87">
        <w:rPr>
          <w:rFonts w:eastAsiaTheme="minorEastAsia"/>
          <w:szCs w:val="24"/>
        </w:rPr>
        <w:t>.</w:t>
      </w:r>
    </w:p>
    <w:p w14:paraId="77E6FBC0" w14:textId="5455CEFF" w:rsidR="004813C9" w:rsidRPr="004813C9" w:rsidRDefault="004813C9" w:rsidP="00F0366D">
      <w:pPr>
        <w:adjustRightInd w:val="0"/>
        <w:spacing w:after="0" w:afterAutospacing="0"/>
        <w:rPr>
          <w:rFonts w:eastAsiaTheme="minorEastAsia"/>
          <w:szCs w:val="24"/>
        </w:rPr>
      </w:pPr>
    </w:p>
    <w:p w14:paraId="57CAD819" w14:textId="188579C9" w:rsidR="007971B8" w:rsidRDefault="007971B8" w:rsidP="00296415">
      <w:pPr>
        <w:adjustRightInd w:val="0"/>
        <w:spacing w:after="0" w:afterAutospacing="0"/>
        <w:rPr>
          <w:rFonts w:eastAsiaTheme="minorEastAsia"/>
          <w:szCs w:val="24"/>
        </w:rPr>
      </w:pPr>
      <w:r>
        <w:rPr>
          <w:rFonts w:eastAsiaTheme="minorEastAsia"/>
          <w:szCs w:val="24"/>
        </w:rPr>
        <w:t xml:space="preserve">For most cases even </w:t>
      </w:r>
      <w:r w:rsidR="00E92E02">
        <w:rPr>
          <w:rFonts w:eastAsiaTheme="minorEastAsia"/>
          <w:szCs w:val="24"/>
        </w:rPr>
        <w:t>that in</w:t>
      </w:r>
      <w:r>
        <w:rPr>
          <w:rFonts w:eastAsiaTheme="minorEastAsia"/>
          <w:szCs w:val="24"/>
        </w:rPr>
        <w:t xml:space="preserve"> shared spectrum operation, gNB </w:t>
      </w:r>
      <w:proofErr w:type="gramStart"/>
      <w:r>
        <w:rPr>
          <w:rFonts w:eastAsiaTheme="minorEastAsia"/>
          <w:szCs w:val="24"/>
        </w:rPr>
        <w:t>is able to</w:t>
      </w:r>
      <w:proofErr w:type="gramEnd"/>
      <w:r>
        <w:rPr>
          <w:rFonts w:eastAsiaTheme="minorEastAsia"/>
          <w:szCs w:val="24"/>
        </w:rPr>
        <w:t xml:space="preserve"> control the scheduling such that SS/PBCH block transmission can be prioritized. However, there are potential cases where </w:t>
      </w:r>
      <w:r w:rsidR="00217A66">
        <w:rPr>
          <w:rFonts w:eastAsiaTheme="minorEastAsia"/>
          <w:szCs w:val="24"/>
        </w:rPr>
        <w:t xml:space="preserve">gNB does not have full control. For example, </w:t>
      </w:r>
      <w:r w:rsidR="00FE1587">
        <w:rPr>
          <w:rFonts w:eastAsiaTheme="minorEastAsia"/>
          <w:szCs w:val="24"/>
        </w:rPr>
        <w:t>as shown in Figure 1, a UE COT has been initiated before the SS/PBCH block transmission.</w:t>
      </w:r>
      <w:r w:rsidR="007B3290">
        <w:rPr>
          <w:rFonts w:eastAsiaTheme="minorEastAsia"/>
          <w:szCs w:val="24"/>
        </w:rPr>
        <w:t xml:space="preserve"> </w:t>
      </w:r>
      <w:r w:rsidR="002B2949">
        <w:rPr>
          <w:rFonts w:eastAsiaTheme="minorEastAsia"/>
          <w:szCs w:val="24"/>
        </w:rPr>
        <w:t xml:space="preserve">As agreed in RAN1 106bis-e meeting, </w:t>
      </w:r>
      <w:r w:rsidR="007B3290">
        <w:rPr>
          <w:rFonts w:eastAsiaTheme="minorEastAsia"/>
          <w:szCs w:val="24"/>
        </w:rPr>
        <w:t>gNB</w:t>
      </w:r>
      <w:r w:rsidR="002B2949">
        <w:rPr>
          <w:rFonts w:eastAsiaTheme="minorEastAsia"/>
          <w:szCs w:val="24"/>
        </w:rPr>
        <w:t xml:space="preserve"> can share</w:t>
      </w:r>
      <w:r w:rsidR="007B3290">
        <w:rPr>
          <w:rFonts w:eastAsiaTheme="minorEastAsia"/>
          <w:szCs w:val="24"/>
        </w:rPr>
        <w:t xml:space="preserve"> the initiated UE COT </w:t>
      </w:r>
      <w:r w:rsidR="002B2949">
        <w:rPr>
          <w:rFonts w:eastAsiaTheme="minorEastAsia"/>
          <w:szCs w:val="24"/>
        </w:rPr>
        <w:t>to transmit</w:t>
      </w:r>
      <w:r w:rsidR="007B3290">
        <w:rPr>
          <w:rFonts w:eastAsiaTheme="minorEastAsia"/>
          <w:szCs w:val="24"/>
        </w:rPr>
        <w:t xml:space="preserve"> the SS/PBCH </w:t>
      </w:r>
      <w:r w:rsidR="002B2949">
        <w:rPr>
          <w:rFonts w:eastAsiaTheme="minorEastAsia"/>
          <w:szCs w:val="24"/>
        </w:rPr>
        <w:t xml:space="preserve">blocks. </w:t>
      </w:r>
      <w:r w:rsidR="003921F1">
        <w:rPr>
          <w:rFonts w:eastAsiaTheme="minorEastAsia"/>
          <w:szCs w:val="24"/>
        </w:rPr>
        <w:t>Then t</w:t>
      </w:r>
      <w:r w:rsidR="002B2949">
        <w:rPr>
          <w:rFonts w:eastAsiaTheme="minorEastAsia"/>
          <w:szCs w:val="24"/>
        </w:rPr>
        <w:t xml:space="preserve">he problem is that gNB can only transmit a portion of SS/PBCH blocks before the idle period of UE FFP, e.g., only one SS/PBCH block can be transmitted as shown in Figure 1. To cope with this problem, </w:t>
      </w:r>
      <w:r w:rsidR="009A179D">
        <w:rPr>
          <w:rFonts w:eastAsiaTheme="minorEastAsia" w:hint="eastAsia"/>
          <w:szCs w:val="24"/>
        </w:rPr>
        <w:t>s</w:t>
      </w:r>
      <w:r w:rsidR="009A179D">
        <w:rPr>
          <w:rFonts w:eastAsiaTheme="minorEastAsia"/>
          <w:szCs w:val="24"/>
        </w:rPr>
        <w:t>everal solutions including the follows can be considered:</w:t>
      </w:r>
    </w:p>
    <w:p w14:paraId="240E6FA4" w14:textId="514C17DE" w:rsidR="009A179D" w:rsidRPr="00FB2013" w:rsidRDefault="009A179D" w:rsidP="009A179D">
      <w:pPr>
        <w:pStyle w:val="affa"/>
        <w:numPr>
          <w:ilvl w:val="0"/>
          <w:numId w:val="46"/>
        </w:numPr>
        <w:adjustRightInd w:val="0"/>
        <w:spacing w:after="0" w:afterAutospacing="0"/>
        <w:ind w:firstLineChars="0"/>
        <w:rPr>
          <w:rFonts w:eastAsiaTheme="minorEastAsia"/>
          <w:szCs w:val="24"/>
        </w:rPr>
      </w:pPr>
      <w:r>
        <w:rPr>
          <w:rFonts w:eastAsiaTheme="minorEastAsia"/>
          <w:szCs w:val="24"/>
        </w:rPr>
        <w:t xml:space="preserve">Option 1: </w:t>
      </w:r>
      <w:r w:rsidRPr="00FB2013">
        <w:rPr>
          <w:rFonts w:eastAsiaTheme="minorEastAsia"/>
          <w:szCs w:val="24"/>
        </w:rPr>
        <w:t>Disable the UE FFP that overlaps with a gNB idle period after which SS/PBCH block would be transmitted.</w:t>
      </w:r>
    </w:p>
    <w:p w14:paraId="13B36DFD" w14:textId="3101589F" w:rsidR="009A179D" w:rsidRPr="00FB2013" w:rsidRDefault="009A179D" w:rsidP="009A179D">
      <w:pPr>
        <w:pStyle w:val="affa"/>
        <w:numPr>
          <w:ilvl w:val="0"/>
          <w:numId w:val="47"/>
        </w:numPr>
        <w:adjustRightInd w:val="0"/>
        <w:spacing w:after="0" w:afterAutospacing="0"/>
        <w:ind w:firstLineChars="0"/>
        <w:rPr>
          <w:rFonts w:eastAsiaTheme="minorEastAsia"/>
          <w:szCs w:val="24"/>
        </w:rPr>
      </w:pPr>
      <w:r w:rsidRPr="00FB2013">
        <w:rPr>
          <w:rFonts w:eastAsiaTheme="minorEastAsia"/>
          <w:szCs w:val="24"/>
        </w:rPr>
        <w:t xml:space="preserve">Option 2: UE may initiate a UE COT within the UE FFP that overlaps with a gNB idle period after which SS/PBCH block would be transmitted. </w:t>
      </w:r>
      <w:r>
        <w:rPr>
          <w:rFonts w:eastAsiaTheme="minorEastAsia"/>
          <w:szCs w:val="24"/>
        </w:rPr>
        <w:t>UL transmission are stop</w:t>
      </w:r>
      <w:r w:rsidR="003921F1">
        <w:rPr>
          <w:rFonts w:eastAsiaTheme="minorEastAsia"/>
          <w:szCs w:val="24"/>
        </w:rPr>
        <w:t xml:space="preserve">ped before the gNB idle period, e.g., </w:t>
      </w:r>
      <w:r>
        <w:rPr>
          <w:rFonts w:eastAsiaTheme="minorEastAsia"/>
          <w:szCs w:val="24"/>
        </w:rPr>
        <w:t>by scheduling, dynamic cancellation,</w:t>
      </w:r>
      <w:r w:rsidR="003921F1">
        <w:rPr>
          <w:rFonts w:eastAsiaTheme="minorEastAsia"/>
          <w:szCs w:val="24"/>
        </w:rPr>
        <w:t xml:space="preserve"> etc</w:t>
      </w:r>
      <w:r>
        <w:rPr>
          <w:rFonts w:eastAsiaTheme="minorEastAsia"/>
          <w:szCs w:val="24"/>
        </w:rPr>
        <w:t>.</w:t>
      </w:r>
    </w:p>
    <w:p w14:paraId="1EA8AE93" w14:textId="5DEB3B3D" w:rsidR="00296415" w:rsidRDefault="00296415" w:rsidP="00296415">
      <w:pPr>
        <w:adjustRightInd w:val="0"/>
        <w:spacing w:after="0" w:afterAutospacing="0"/>
        <w:rPr>
          <w:rFonts w:eastAsiaTheme="minorEastAsia"/>
          <w:szCs w:val="24"/>
        </w:rPr>
      </w:pPr>
    </w:p>
    <w:p w14:paraId="244C6C67" w14:textId="408276AE" w:rsidR="00DE7C98" w:rsidRDefault="00D53944" w:rsidP="00296415">
      <w:pPr>
        <w:adjustRightInd w:val="0"/>
        <w:spacing w:after="0" w:afterAutospacing="0"/>
        <w:rPr>
          <w:rFonts w:eastAsiaTheme="minorEastAsia"/>
          <w:szCs w:val="24"/>
        </w:rPr>
      </w:pPr>
      <w:r>
        <w:rPr>
          <w:rFonts w:eastAsiaTheme="minorEastAsia" w:hint="eastAsia"/>
          <w:szCs w:val="24"/>
        </w:rPr>
        <w:t>O</w:t>
      </w:r>
      <w:r>
        <w:rPr>
          <w:rFonts w:eastAsiaTheme="minorEastAsia"/>
          <w:szCs w:val="24"/>
        </w:rPr>
        <w:t>bviously, Option 1 provides firm protection for SS/PBCH block transmission in a semi-static way, which is robust against DCI misdetection and simplifies gNB scheduling. Thus, we make the following proposal.</w:t>
      </w:r>
    </w:p>
    <w:p w14:paraId="6255B9C2" w14:textId="77777777" w:rsidR="00D53944" w:rsidRDefault="00D53944" w:rsidP="00296415">
      <w:pPr>
        <w:adjustRightInd w:val="0"/>
        <w:spacing w:after="0" w:afterAutospacing="0"/>
        <w:rPr>
          <w:rFonts w:eastAsiaTheme="minorEastAsia"/>
          <w:szCs w:val="24"/>
        </w:rPr>
      </w:pPr>
    </w:p>
    <w:p w14:paraId="483E00C3" w14:textId="532B829E" w:rsidR="00296415" w:rsidRPr="00FB2013" w:rsidRDefault="00296415" w:rsidP="00296415">
      <w:pPr>
        <w:adjustRightInd w:val="0"/>
        <w:spacing w:after="0" w:afterAutospacing="0"/>
        <w:rPr>
          <w:rFonts w:eastAsiaTheme="minorEastAsia"/>
          <w:b/>
          <w:szCs w:val="24"/>
        </w:rPr>
      </w:pPr>
      <w:r w:rsidRPr="00FB2013">
        <w:rPr>
          <w:rFonts w:eastAsiaTheme="minorEastAsia"/>
          <w:b/>
          <w:szCs w:val="24"/>
        </w:rPr>
        <w:t xml:space="preserve">Proposal 1: </w:t>
      </w:r>
      <w:r w:rsidR="00DE7C98" w:rsidRPr="00FB2013">
        <w:rPr>
          <w:rFonts w:eastAsiaTheme="minorEastAsia"/>
          <w:szCs w:val="24"/>
        </w:rPr>
        <w:t>To provide protection to SS/PBCH block transmission in FBE mode</w:t>
      </w:r>
      <w:r w:rsidR="00021B9A">
        <w:rPr>
          <w:rFonts w:eastAsiaTheme="minorEastAsia"/>
          <w:szCs w:val="24"/>
        </w:rPr>
        <w:t xml:space="preserve"> with UE FFP configuration</w:t>
      </w:r>
      <w:r w:rsidR="00DE7C98" w:rsidRPr="00FB2013">
        <w:rPr>
          <w:rFonts w:eastAsiaTheme="minorEastAsia"/>
          <w:szCs w:val="24"/>
        </w:rPr>
        <w:t>,</w:t>
      </w:r>
      <w:r w:rsidR="00021B9A">
        <w:rPr>
          <w:rFonts w:eastAsiaTheme="minorEastAsia"/>
          <w:szCs w:val="24"/>
        </w:rPr>
        <w:t xml:space="preserve"> a potential solution is to</w:t>
      </w:r>
      <w:r w:rsidR="00DE7C98" w:rsidRPr="00FB2013">
        <w:rPr>
          <w:rFonts w:eastAsiaTheme="minorEastAsia"/>
          <w:szCs w:val="24"/>
        </w:rPr>
        <w:t xml:space="preserve"> </w:t>
      </w:r>
      <w:r w:rsidR="00DE7C98">
        <w:rPr>
          <w:rFonts w:eastAsiaTheme="minorEastAsia"/>
          <w:szCs w:val="24"/>
        </w:rPr>
        <w:t>d</w:t>
      </w:r>
      <w:r w:rsidR="00DE7C98" w:rsidRPr="002B52CB">
        <w:rPr>
          <w:rFonts w:eastAsiaTheme="minorEastAsia"/>
          <w:szCs w:val="24"/>
        </w:rPr>
        <w:t>isable the UE FFP that overlaps with a gNB idle period after which SS/PBCH block would be transmitted.</w:t>
      </w:r>
    </w:p>
    <w:p w14:paraId="0479EAE2" w14:textId="77777777" w:rsidR="00296415" w:rsidRDefault="00296415" w:rsidP="00F0366D">
      <w:pPr>
        <w:adjustRightInd w:val="0"/>
        <w:spacing w:after="0" w:afterAutospacing="0"/>
        <w:rPr>
          <w:rFonts w:eastAsiaTheme="minorEastAsia"/>
          <w:szCs w:val="24"/>
        </w:rPr>
      </w:pPr>
    </w:p>
    <w:p w14:paraId="55220E3A" w14:textId="12CBEE74" w:rsidR="00803032" w:rsidRDefault="00803032" w:rsidP="00E3290D">
      <w:pPr>
        <w:adjustRightInd w:val="0"/>
        <w:spacing w:after="0" w:afterAutospacing="0"/>
        <w:rPr>
          <w:rFonts w:eastAsiaTheme="minorEastAsia"/>
          <w:szCs w:val="24"/>
          <w:lang w:val="en-US"/>
        </w:rPr>
      </w:pPr>
    </w:p>
    <w:p w14:paraId="4C4FB1FE" w14:textId="4A80BB21" w:rsidR="008066D3" w:rsidRPr="00E42D4D" w:rsidRDefault="008066D3" w:rsidP="008066D3">
      <w:pPr>
        <w:pStyle w:val="10"/>
        <w:numPr>
          <w:ilvl w:val="0"/>
          <w:numId w:val="10"/>
        </w:numPr>
        <w:spacing w:before="0" w:after="180"/>
        <w:ind w:left="425" w:hanging="425"/>
        <w:rPr>
          <w:rFonts w:ascii="Times New Roman" w:hAnsi="Times New Roman"/>
        </w:rPr>
      </w:pPr>
      <w:r>
        <w:rPr>
          <w:rFonts w:ascii="Times New Roman" w:hAnsi="Times New Roman"/>
        </w:rPr>
        <w:t>UE’s determination of gNB-initiated COT</w:t>
      </w:r>
    </w:p>
    <w:p w14:paraId="286C4234" w14:textId="2E198CFF" w:rsidR="008066D3" w:rsidRDefault="008066D3" w:rsidP="008066D3">
      <w:pPr>
        <w:adjustRightInd w:val="0"/>
        <w:spacing w:after="0" w:afterAutospacing="0"/>
        <w:rPr>
          <w:rFonts w:eastAsiaTheme="minorEastAsia"/>
          <w:szCs w:val="24"/>
        </w:rPr>
      </w:pPr>
      <w:r>
        <w:rPr>
          <w:rFonts w:eastAsiaTheme="minorEastAsia"/>
          <w:szCs w:val="24"/>
        </w:rPr>
        <w:t xml:space="preserve">In RAN1#105-e, the following agreement was made in terms of whether configured UL transmission should belong to UL-initiated COT or gNB-initiated COT. </w:t>
      </w:r>
      <w:r w:rsidR="00FC4C86">
        <w:rPr>
          <w:rFonts w:eastAsiaTheme="minorEastAsia"/>
          <w:szCs w:val="24"/>
        </w:rPr>
        <w:t>According to the agreement, to satisfy the condition “the UE has already determined that gNB is initiated that gNB FFP” is essential to determine that the configured UL transmission belongs to the gNB-initiated COT. In other words, if the UE has not determined that the gNB initiated the COT, the UE always assumes that the configured UL transmission initiates the UE’s COT.</w:t>
      </w:r>
    </w:p>
    <w:p w14:paraId="3487A312" w14:textId="1EAC8AF5" w:rsidR="008066D3" w:rsidRDefault="008066D3" w:rsidP="00E3290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8066D3" w14:paraId="017BF709" w14:textId="77777777" w:rsidTr="008066D3">
        <w:tc>
          <w:tcPr>
            <w:tcW w:w="9954" w:type="dxa"/>
          </w:tcPr>
          <w:p w14:paraId="1014F901" w14:textId="77777777" w:rsidR="008066D3" w:rsidRDefault="008066D3" w:rsidP="008066D3">
            <w:pPr>
              <w:rPr>
                <w:sz w:val="22"/>
                <w:szCs w:val="24"/>
                <w:highlight w:val="green"/>
              </w:rPr>
            </w:pPr>
            <w:r>
              <w:rPr>
                <w:sz w:val="22"/>
                <w:szCs w:val="24"/>
                <w:highlight w:val="green"/>
              </w:rPr>
              <w:t>Agreement:</w:t>
            </w:r>
          </w:p>
          <w:p w14:paraId="0FA14CE5" w14:textId="77777777" w:rsidR="008066D3" w:rsidRDefault="008066D3" w:rsidP="008066D3">
            <w:pPr>
              <w:rPr>
                <w:sz w:val="22"/>
                <w:szCs w:val="24"/>
                <w:lang w:eastAsia="ko-KR"/>
              </w:rPr>
            </w:pPr>
            <w:r>
              <w:rPr>
                <w:sz w:val="22"/>
                <w:szCs w:val="24"/>
                <w:lang w:eastAsia="ko-KR"/>
              </w:rPr>
              <w:t>In semi-static channel access mode when a UE can operate as UE-initiated COT,</w:t>
            </w:r>
          </w:p>
          <w:p w14:paraId="3A0FA324" w14:textId="77777777" w:rsidR="008066D3" w:rsidRDefault="008066D3" w:rsidP="008066D3">
            <w:pPr>
              <w:numPr>
                <w:ilvl w:val="0"/>
                <w:numId w:val="26"/>
              </w:numPr>
              <w:snapToGrid/>
              <w:spacing w:after="0" w:afterAutospacing="0"/>
              <w:rPr>
                <w:rFonts w:eastAsia="Times New Roman"/>
                <w:sz w:val="22"/>
                <w:szCs w:val="24"/>
                <w:lang w:eastAsia="ko-KR"/>
              </w:rPr>
            </w:pPr>
            <w:r>
              <w:rPr>
                <w:rFonts w:eastAsia="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04F26D87" w14:textId="77777777" w:rsidR="008066D3" w:rsidRDefault="008066D3" w:rsidP="008066D3">
            <w:pPr>
              <w:numPr>
                <w:ilvl w:val="1"/>
                <w:numId w:val="26"/>
              </w:numPr>
              <w:snapToGrid/>
              <w:spacing w:after="0" w:afterAutospacing="0"/>
              <w:rPr>
                <w:rFonts w:eastAsia="Times New Roman"/>
                <w:sz w:val="22"/>
                <w:szCs w:val="24"/>
                <w:lang w:eastAsia="zh-CN"/>
              </w:rPr>
            </w:pPr>
            <w:r>
              <w:rPr>
                <w:rFonts w:eastAsia="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20C6B45" w14:textId="77777777" w:rsidR="008066D3" w:rsidRPr="008066D3" w:rsidRDefault="008066D3" w:rsidP="00E3290D">
            <w:pPr>
              <w:adjustRightInd w:val="0"/>
              <w:spacing w:after="0" w:afterAutospacing="0"/>
              <w:rPr>
                <w:rFonts w:eastAsiaTheme="minorEastAsia"/>
                <w:szCs w:val="24"/>
              </w:rPr>
            </w:pPr>
          </w:p>
        </w:tc>
      </w:tr>
    </w:tbl>
    <w:p w14:paraId="5C5B970B" w14:textId="28AC4586" w:rsidR="008066D3" w:rsidRDefault="008066D3" w:rsidP="00E3290D">
      <w:pPr>
        <w:adjustRightInd w:val="0"/>
        <w:spacing w:after="0" w:afterAutospacing="0"/>
        <w:rPr>
          <w:rFonts w:eastAsiaTheme="minorEastAsia"/>
          <w:szCs w:val="24"/>
        </w:rPr>
      </w:pPr>
    </w:p>
    <w:p w14:paraId="73F3EBF6" w14:textId="364C78E1" w:rsidR="008066D3" w:rsidRDefault="00FC4C86" w:rsidP="00E3290D">
      <w:pPr>
        <w:adjustRightInd w:val="0"/>
        <w:spacing w:after="0" w:afterAutospacing="0"/>
        <w:rPr>
          <w:rFonts w:eastAsiaTheme="minorEastAsia"/>
          <w:szCs w:val="24"/>
        </w:rPr>
      </w:pPr>
      <w:r>
        <w:rPr>
          <w:rFonts w:eastAsiaTheme="minorEastAsia" w:hint="eastAsia"/>
          <w:szCs w:val="24"/>
        </w:rPr>
        <w:t>A</w:t>
      </w:r>
      <w:r>
        <w:rPr>
          <w:rFonts w:eastAsiaTheme="minorEastAsia"/>
          <w:szCs w:val="24"/>
        </w:rPr>
        <w:t xml:space="preserve">t the same time, for the UE that has not determined that the gNB initiated the COT, the following is the only metric for the determination of the gNB-initiated COT that has been agreed </w:t>
      </w:r>
      <w:r w:rsidR="002D28FD">
        <w:rPr>
          <w:rFonts w:eastAsiaTheme="minorEastAsia"/>
          <w:szCs w:val="24"/>
        </w:rPr>
        <w:t xml:space="preserve">and captured in the draft CR to TS37.213 </w:t>
      </w:r>
      <w:r>
        <w:rPr>
          <w:rFonts w:eastAsiaTheme="minorEastAsia"/>
          <w:szCs w:val="24"/>
        </w:rPr>
        <w:t>so far.</w:t>
      </w:r>
      <w:r w:rsidR="00A136B0">
        <w:rPr>
          <w:rFonts w:eastAsiaTheme="minorEastAsia"/>
          <w:szCs w:val="24"/>
        </w:rPr>
        <w:t xml:space="preserve"> However, it is still not clear </w:t>
      </w:r>
      <w:proofErr w:type="gramStart"/>
      <w:r w:rsidR="00A136B0">
        <w:rPr>
          <w:rFonts w:eastAsiaTheme="minorEastAsia"/>
          <w:szCs w:val="24"/>
        </w:rPr>
        <w:t>whether or not</w:t>
      </w:r>
      <w:proofErr w:type="gramEnd"/>
      <w:r w:rsidR="00A136B0">
        <w:rPr>
          <w:rFonts w:eastAsiaTheme="minorEastAsia"/>
          <w:szCs w:val="24"/>
        </w:rPr>
        <w:t xml:space="preserve"> there is any other case that the UE determines that the gNB initiated the COT, e.g., whether a DL transmission burst detection at the beginning of the gNB FFP is used for the determination of the gNB-initiated COT at the UE side. In our view, it is not necessary to define any other metric to determine that the gNB initiated the COT, because the UE is not aware of whether the DL transmission initiated the </w:t>
      </w:r>
      <w:proofErr w:type="spellStart"/>
      <w:r w:rsidR="00A136B0">
        <w:rPr>
          <w:rFonts w:eastAsiaTheme="minorEastAsia"/>
          <w:szCs w:val="24"/>
        </w:rPr>
        <w:t>gNB’s</w:t>
      </w:r>
      <w:proofErr w:type="spellEnd"/>
      <w:r w:rsidR="00A136B0">
        <w:rPr>
          <w:rFonts w:eastAsiaTheme="minorEastAsia"/>
          <w:szCs w:val="24"/>
        </w:rPr>
        <w:t xml:space="preserve"> COT or the DL transmission belongs to the UE’s COT.</w:t>
      </w:r>
    </w:p>
    <w:tbl>
      <w:tblPr>
        <w:tblStyle w:val="af2"/>
        <w:tblW w:w="0" w:type="auto"/>
        <w:tblLook w:val="04A0" w:firstRow="1" w:lastRow="0" w:firstColumn="1" w:lastColumn="0" w:noHBand="0" w:noVBand="1"/>
      </w:tblPr>
      <w:tblGrid>
        <w:gridCol w:w="9954"/>
      </w:tblGrid>
      <w:tr w:rsidR="00FC4C86" w14:paraId="0AEAA7B2" w14:textId="77777777" w:rsidTr="00FC4C86">
        <w:tc>
          <w:tcPr>
            <w:tcW w:w="9954" w:type="dxa"/>
          </w:tcPr>
          <w:p w14:paraId="5FC84D5F" w14:textId="77777777" w:rsidR="00FC4C86" w:rsidRDefault="00FC4C86" w:rsidP="00FC4C86">
            <w:pPr>
              <w:rPr>
                <w:sz w:val="22"/>
                <w:szCs w:val="24"/>
                <w:highlight w:val="green"/>
              </w:rPr>
            </w:pPr>
            <w:r>
              <w:rPr>
                <w:sz w:val="22"/>
                <w:szCs w:val="24"/>
                <w:highlight w:val="green"/>
              </w:rPr>
              <w:t>Agreement:</w:t>
            </w:r>
          </w:p>
          <w:p w14:paraId="224D296E" w14:textId="77777777" w:rsidR="00FC4C86" w:rsidRDefault="00FC4C86" w:rsidP="00FC4C86">
            <w:pPr>
              <w:rPr>
                <w:sz w:val="22"/>
                <w:szCs w:val="24"/>
                <w:lang w:eastAsia="ko-KR"/>
              </w:rPr>
            </w:pPr>
            <w:r>
              <w:rPr>
                <w:sz w:val="22"/>
                <w:szCs w:val="24"/>
                <w:lang w:eastAsia="ko-KR"/>
              </w:rPr>
              <w:t>In semi-static channel access mode when a UE can operate as initiating device,</w:t>
            </w:r>
          </w:p>
          <w:p w14:paraId="053B2B5E" w14:textId="77777777" w:rsidR="00FC4C86" w:rsidRDefault="00FC4C86" w:rsidP="00FC4C86">
            <w:pPr>
              <w:numPr>
                <w:ilvl w:val="0"/>
                <w:numId w:val="24"/>
              </w:numPr>
              <w:snapToGrid/>
              <w:spacing w:after="0" w:afterAutospacing="0"/>
              <w:rPr>
                <w:rFonts w:eastAsia="Times New Roman"/>
                <w:sz w:val="22"/>
                <w:szCs w:val="24"/>
                <w:lang w:eastAsia="ko-KR"/>
              </w:rPr>
            </w:pPr>
            <w:r>
              <w:rPr>
                <w:rFonts w:eastAsia="Times New Roman"/>
                <w:sz w:val="22"/>
                <w:szCs w:val="24"/>
                <w:lang w:eastAsia="ko-KR"/>
              </w:rPr>
              <w:t>To determine whether a scheduled UL transmission is based on UE-initiated COT or sharing a gNB-initiated COT:</w:t>
            </w:r>
          </w:p>
          <w:p w14:paraId="49FB76C9" w14:textId="77777777" w:rsidR="00FC4C86" w:rsidRDefault="00FC4C86" w:rsidP="00FC4C86">
            <w:pPr>
              <w:numPr>
                <w:ilvl w:val="0"/>
                <w:numId w:val="25"/>
              </w:numPr>
              <w:snapToGrid/>
              <w:spacing w:after="0" w:afterAutospacing="0"/>
              <w:ind w:left="1080"/>
              <w:rPr>
                <w:rFonts w:eastAsia="Calibri"/>
                <w:sz w:val="22"/>
                <w:szCs w:val="24"/>
                <w:lang w:eastAsia="zh-CN"/>
              </w:rPr>
            </w:pPr>
            <w:r>
              <w:rPr>
                <w:sz w:val="22"/>
                <w:szCs w:val="24"/>
                <w:lang w:eastAsia="ko-KR"/>
              </w:rPr>
              <w:t>Determination based on the content in the scheduling DCI</w:t>
            </w:r>
          </w:p>
          <w:p w14:paraId="4F08DB5B" w14:textId="77777777" w:rsidR="00FC4C86" w:rsidRDefault="00FC4C86" w:rsidP="00FC4C86">
            <w:pPr>
              <w:numPr>
                <w:ilvl w:val="1"/>
                <w:numId w:val="25"/>
              </w:numPr>
              <w:snapToGrid/>
              <w:spacing w:after="0" w:afterAutospacing="0"/>
              <w:ind w:left="1800"/>
              <w:rPr>
                <w:sz w:val="22"/>
                <w:szCs w:val="24"/>
                <w:lang w:eastAsia="zh-CN"/>
              </w:rPr>
            </w:pPr>
            <w:r>
              <w:rPr>
                <w:sz w:val="22"/>
                <w:szCs w:val="24"/>
                <w:lang w:eastAsia="zh-CN"/>
              </w:rPr>
              <w:t>FFS on whether the corresponding field(s) can be absent in DCI</w:t>
            </w:r>
          </w:p>
          <w:p w14:paraId="21D3FFD6" w14:textId="77777777" w:rsidR="00FC4C86" w:rsidRDefault="00FC4C86" w:rsidP="00FC4C86">
            <w:pPr>
              <w:numPr>
                <w:ilvl w:val="2"/>
                <w:numId w:val="25"/>
              </w:numPr>
              <w:snapToGrid/>
              <w:spacing w:after="0" w:afterAutospacing="0"/>
              <w:ind w:left="2520"/>
              <w:rPr>
                <w:sz w:val="22"/>
                <w:szCs w:val="24"/>
                <w:lang w:eastAsia="zh-CN"/>
              </w:rPr>
            </w:pPr>
            <w:r>
              <w:rPr>
                <w:sz w:val="22"/>
                <w:szCs w:val="24"/>
              </w:rPr>
              <w:t>If absent, d</w:t>
            </w:r>
            <w:r>
              <w:rPr>
                <w:sz w:val="22"/>
                <w:szCs w:val="24"/>
                <w:lang w:eastAsia="zh-CN"/>
              </w:rPr>
              <w:t>etermination based on the rules applied for configured UL transmissions</w:t>
            </w:r>
            <w:r>
              <w:rPr>
                <w:sz w:val="22"/>
                <w:szCs w:val="24"/>
              </w:rPr>
              <w:t xml:space="preserve"> is applied</w:t>
            </w:r>
          </w:p>
          <w:p w14:paraId="653705E9" w14:textId="381BFA95" w:rsidR="00FC4C86" w:rsidRPr="00A957F1" w:rsidRDefault="00FC4C86" w:rsidP="00A957F1">
            <w:pPr>
              <w:numPr>
                <w:ilvl w:val="1"/>
                <w:numId w:val="25"/>
              </w:numPr>
              <w:snapToGrid/>
              <w:spacing w:after="0" w:afterAutospacing="0"/>
              <w:ind w:left="1800"/>
              <w:rPr>
                <w:sz w:val="22"/>
                <w:szCs w:val="24"/>
                <w:lang w:eastAsia="zh-CN"/>
              </w:rPr>
            </w:pPr>
            <w:r>
              <w:rPr>
                <w:sz w:val="22"/>
                <w:szCs w:val="24"/>
                <w:lang w:eastAsia="zh-CN"/>
              </w:rPr>
              <w:t xml:space="preserve">FFS whether/how to handle the case when the gNB schedules an UL transmission in the next </w:t>
            </w:r>
            <w:proofErr w:type="spellStart"/>
            <w:r>
              <w:rPr>
                <w:sz w:val="22"/>
                <w:szCs w:val="24"/>
                <w:lang w:eastAsia="zh-CN"/>
              </w:rPr>
              <w:t>gNB’s</w:t>
            </w:r>
            <w:proofErr w:type="spellEnd"/>
            <w:r>
              <w:rPr>
                <w:sz w:val="22"/>
                <w:szCs w:val="24"/>
                <w:lang w:eastAsia="zh-CN"/>
              </w:rPr>
              <w:t xml:space="preserve"> FFP period</w:t>
            </w:r>
          </w:p>
        </w:tc>
      </w:tr>
    </w:tbl>
    <w:p w14:paraId="6260F842" w14:textId="77777777" w:rsidR="00FC4C86" w:rsidRDefault="00FC4C86" w:rsidP="00E3290D">
      <w:pPr>
        <w:adjustRightInd w:val="0"/>
        <w:spacing w:after="0" w:afterAutospacing="0"/>
        <w:rPr>
          <w:rFonts w:eastAsiaTheme="minorEastAsia"/>
          <w:szCs w:val="24"/>
        </w:rPr>
      </w:pPr>
    </w:p>
    <w:p w14:paraId="7B2A5DD5" w14:textId="3F26AD36" w:rsidR="00FC4C86" w:rsidRDefault="004E3364" w:rsidP="00E3290D">
      <w:pPr>
        <w:adjustRightInd w:val="0"/>
        <w:spacing w:after="0" w:afterAutospacing="0"/>
        <w:rPr>
          <w:rFonts w:eastAsiaTheme="minorEastAsia"/>
          <w:szCs w:val="24"/>
        </w:rPr>
      </w:pPr>
      <w:r>
        <w:rPr>
          <w:rFonts w:eastAsiaTheme="minorEastAsia"/>
          <w:szCs w:val="24"/>
        </w:rPr>
        <w:t>Based on the above, it is suggested that, f</w:t>
      </w:r>
      <w:r w:rsidR="00FC4C86">
        <w:rPr>
          <w:rFonts w:eastAsiaTheme="minorEastAsia"/>
          <w:szCs w:val="24"/>
        </w:rPr>
        <w:t xml:space="preserve">or the UE </w:t>
      </w:r>
      <w:r w:rsidR="00A136B0">
        <w:rPr>
          <w:rFonts w:eastAsiaTheme="minorEastAsia"/>
          <w:szCs w:val="24"/>
        </w:rPr>
        <w:t xml:space="preserve">configured with </w:t>
      </w:r>
      <w:proofErr w:type="spellStart"/>
      <w:r w:rsidR="00A136B0" w:rsidRPr="00A957F1">
        <w:rPr>
          <w:rFonts w:eastAsiaTheme="minorEastAsia"/>
          <w:i/>
          <w:iCs/>
          <w:szCs w:val="24"/>
        </w:rPr>
        <w:t>ue-SemiStaticChannelAccessConfig</w:t>
      </w:r>
      <w:proofErr w:type="spellEnd"/>
      <w:r w:rsidR="00A136B0" w:rsidRPr="00A136B0">
        <w:rPr>
          <w:rFonts w:eastAsiaTheme="minorEastAsia"/>
          <w:szCs w:val="24"/>
        </w:rPr>
        <w:t xml:space="preserve"> </w:t>
      </w:r>
      <w:r w:rsidR="00A136B0">
        <w:rPr>
          <w:rFonts w:eastAsiaTheme="minorEastAsia"/>
          <w:szCs w:val="24"/>
        </w:rPr>
        <w:t xml:space="preserve">and </w:t>
      </w:r>
      <w:r w:rsidR="00FC4C86">
        <w:rPr>
          <w:rFonts w:eastAsiaTheme="minorEastAsia"/>
          <w:szCs w:val="24"/>
        </w:rPr>
        <w:t>that has not determined that the gNB initiated the COT</w:t>
      </w:r>
      <w:r w:rsidR="00A136B0">
        <w:rPr>
          <w:rFonts w:eastAsiaTheme="minorEastAsia"/>
          <w:szCs w:val="24"/>
        </w:rPr>
        <w:t xml:space="preserve">, any DL transmission burst detection except for the reception of </w:t>
      </w:r>
      <w:r w:rsidR="009424FE">
        <w:rPr>
          <w:rFonts w:eastAsiaTheme="minorEastAsia"/>
          <w:szCs w:val="24"/>
        </w:rPr>
        <w:t xml:space="preserve">the </w:t>
      </w:r>
      <w:r w:rsidR="00A136B0">
        <w:rPr>
          <w:rFonts w:eastAsiaTheme="minorEastAsia"/>
          <w:szCs w:val="24"/>
        </w:rPr>
        <w:t xml:space="preserve">DCI </w:t>
      </w:r>
      <w:r w:rsidR="009424FE">
        <w:rPr>
          <w:rFonts w:eastAsiaTheme="minorEastAsia"/>
          <w:szCs w:val="24"/>
        </w:rPr>
        <w:t>in</w:t>
      </w:r>
      <w:r w:rsidR="00A136B0">
        <w:rPr>
          <w:rFonts w:eastAsiaTheme="minorEastAsia"/>
          <w:szCs w:val="24"/>
        </w:rPr>
        <w:t xml:space="preserve"> which the corresponding field(s) indicates “sharing a gNB-initiated COT” does not lead to the UE’s decision that the gNB initiated the COT.</w:t>
      </w:r>
    </w:p>
    <w:p w14:paraId="7AFFE483" w14:textId="77777777" w:rsidR="004E3364" w:rsidRPr="009424FE" w:rsidRDefault="004E3364" w:rsidP="00E3290D">
      <w:pPr>
        <w:adjustRightInd w:val="0"/>
        <w:spacing w:after="0" w:afterAutospacing="0"/>
        <w:rPr>
          <w:rFonts w:eastAsiaTheme="minorEastAsia"/>
          <w:szCs w:val="24"/>
        </w:rPr>
      </w:pPr>
    </w:p>
    <w:p w14:paraId="4B6F1BC4" w14:textId="7A2A4CC1" w:rsidR="008066D3" w:rsidRDefault="004E3364" w:rsidP="00E3290D">
      <w:pPr>
        <w:adjustRightInd w:val="0"/>
        <w:spacing w:after="0" w:afterAutospacing="0"/>
        <w:rPr>
          <w:rFonts w:eastAsiaTheme="minorEastAsia"/>
          <w:b/>
          <w:szCs w:val="24"/>
        </w:rPr>
      </w:pPr>
      <w:r w:rsidRPr="00FB2013">
        <w:rPr>
          <w:rFonts w:eastAsiaTheme="minorEastAsia"/>
          <w:b/>
          <w:szCs w:val="24"/>
        </w:rPr>
        <w:t xml:space="preserve">Proposal </w:t>
      </w:r>
      <w:r>
        <w:rPr>
          <w:rFonts w:eastAsiaTheme="minorEastAsia"/>
          <w:b/>
          <w:szCs w:val="24"/>
        </w:rPr>
        <w:t>2</w:t>
      </w:r>
      <w:r w:rsidRPr="00FB2013">
        <w:rPr>
          <w:rFonts w:eastAsiaTheme="minorEastAsia"/>
          <w:b/>
          <w:szCs w:val="24"/>
        </w:rPr>
        <w:t xml:space="preserve">: </w:t>
      </w:r>
      <w:r>
        <w:rPr>
          <w:rFonts w:eastAsiaTheme="minorEastAsia"/>
          <w:szCs w:val="24"/>
        </w:rPr>
        <w:t xml:space="preserve">For the UE configured with </w:t>
      </w:r>
      <w:proofErr w:type="spellStart"/>
      <w:r w:rsidRPr="00A5017F">
        <w:rPr>
          <w:rFonts w:eastAsiaTheme="minorEastAsia"/>
          <w:i/>
          <w:iCs/>
          <w:szCs w:val="24"/>
        </w:rPr>
        <w:t>ue-SemiStaticChannelAccessConfig</w:t>
      </w:r>
      <w:proofErr w:type="spellEnd"/>
      <w:r>
        <w:rPr>
          <w:rFonts w:eastAsiaTheme="minorEastAsia"/>
          <w:szCs w:val="24"/>
        </w:rPr>
        <w:t xml:space="preserve">, any DL transmission burst detection except for the reception of </w:t>
      </w:r>
      <w:r w:rsidR="009424FE">
        <w:rPr>
          <w:rFonts w:eastAsiaTheme="minorEastAsia"/>
          <w:szCs w:val="24"/>
        </w:rPr>
        <w:t xml:space="preserve">the </w:t>
      </w:r>
      <w:r>
        <w:rPr>
          <w:rFonts w:eastAsiaTheme="minorEastAsia"/>
          <w:szCs w:val="24"/>
        </w:rPr>
        <w:t xml:space="preserve">DCI </w:t>
      </w:r>
      <w:r w:rsidR="009424FE">
        <w:rPr>
          <w:rFonts w:eastAsiaTheme="minorEastAsia"/>
          <w:szCs w:val="24"/>
        </w:rPr>
        <w:t>in</w:t>
      </w:r>
      <w:r>
        <w:rPr>
          <w:rFonts w:eastAsiaTheme="minorEastAsia"/>
          <w:szCs w:val="24"/>
        </w:rPr>
        <w:t xml:space="preserve"> which the corresponding field(s) indicates “sharing a gNB-initiated COT” does not lead to the UE’s decision that the gNB initiated the COT.</w:t>
      </w:r>
    </w:p>
    <w:p w14:paraId="43CF8BFD" w14:textId="77777777" w:rsidR="00A957F1" w:rsidRPr="00A957F1" w:rsidRDefault="00A957F1" w:rsidP="00E3290D">
      <w:pPr>
        <w:adjustRightInd w:val="0"/>
        <w:spacing w:after="0" w:afterAutospacing="0"/>
        <w:rPr>
          <w:rFonts w:eastAsiaTheme="minorEastAsia" w:hint="eastAsia"/>
          <w:b/>
          <w:szCs w:val="24"/>
        </w:rPr>
      </w:pPr>
    </w:p>
    <w:p w14:paraId="604ED04C" w14:textId="77777777" w:rsidR="008066D3" w:rsidRPr="00393B61" w:rsidRDefault="008066D3" w:rsidP="00E3290D">
      <w:pPr>
        <w:adjustRightInd w:val="0"/>
        <w:spacing w:after="0" w:afterAutospacing="0"/>
        <w:rPr>
          <w:rFonts w:eastAsiaTheme="minorEastAsia"/>
          <w:szCs w:val="24"/>
          <w:lang w:val="en-US"/>
        </w:rPr>
      </w:pPr>
    </w:p>
    <w:p w14:paraId="6C481B65" w14:textId="1C729005" w:rsidR="00012F22"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Conclusion</w:t>
      </w:r>
    </w:p>
    <w:p w14:paraId="6459E1DB" w14:textId="46AFCF19" w:rsidR="002112AD" w:rsidRPr="00480471" w:rsidRDefault="00012F22" w:rsidP="00E3290D">
      <w:pPr>
        <w:adjustRightInd w:val="0"/>
        <w:spacing w:after="0" w:afterAutospacing="0"/>
        <w:rPr>
          <w:rFonts w:eastAsiaTheme="minorEastAsia"/>
          <w:szCs w:val="24"/>
          <w:lang w:val="en-US"/>
        </w:rPr>
      </w:pPr>
      <w:r w:rsidRPr="00480471">
        <w:rPr>
          <w:rFonts w:eastAsiaTheme="minorEastAsia"/>
          <w:szCs w:val="24"/>
          <w:lang w:val="en-US"/>
        </w:rPr>
        <w:t xml:space="preserve">In this contribution, we </w:t>
      </w:r>
      <w:bookmarkStart w:id="5" w:name="_References"/>
      <w:bookmarkEnd w:id="5"/>
      <w:r w:rsidR="005C58A6" w:rsidRPr="00480471">
        <w:rPr>
          <w:rFonts w:eastAsiaTheme="minorEastAsia"/>
          <w:szCs w:val="24"/>
          <w:lang w:val="en-US"/>
        </w:rPr>
        <w:t>provide the foll</w:t>
      </w:r>
      <w:r w:rsidR="00852B05" w:rsidRPr="00480471">
        <w:rPr>
          <w:rFonts w:eastAsiaTheme="minorEastAsia"/>
          <w:szCs w:val="24"/>
          <w:lang w:val="en-US"/>
        </w:rPr>
        <w:t>owing proposals</w:t>
      </w:r>
      <w:r w:rsidR="005C58A6" w:rsidRPr="00480471">
        <w:rPr>
          <w:rFonts w:eastAsiaTheme="minorEastAsia"/>
          <w:szCs w:val="24"/>
          <w:lang w:val="en-US"/>
        </w:rPr>
        <w:t>:</w:t>
      </w:r>
    </w:p>
    <w:p w14:paraId="7431D62C" w14:textId="55F3D23F" w:rsidR="006852ED" w:rsidRPr="006852ED" w:rsidRDefault="006852ED" w:rsidP="00E3290D">
      <w:pPr>
        <w:adjustRightInd w:val="0"/>
        <w:spacing w:after="0" w:afterAutospacing="0"/>
        <w:rPr>
          <w:rFonts w:eastAsiaTheme="minorEastAsia"/>
          <w:szCs w:val="24"/>
          <w:lang w:val="en-US"/>
        </w:rPr>
      </w:pPr>
      <w:bookmarkStart w:id="6" w:name="_GoBack"/>
      <w:bookmarkEnd w:id="6"/>
    </w:p>
    <w:p w14:paraId="74C20407" w14:textId="77777777" w:rsidR="003921F1" w:rsidRDefault="003921F1" w:rsidP="003921F1">
      <w:pPr>
        <w:adjustRightInd w:val="0"/>
        <w:spacing w:after="0" w:afterAutospacing="0"/>
        <w:rPr>
          <w:rFonts w:eastAsiaTheme="minorEastAsia"/>
          <w:szCs w:val="24"/>
        </w:rPr>
      </w:pPr>
      <w:r>
        <w:rPr>
          <w:rFonts w:eastAsiaTheme="minorEastAsia"/>
          <w:b/>
          <w:szCs w:val="24"/>
        </w:rPr>
        <w:lastRenderedPageBreak/>
        <w:t>Observation 1</w:t>
      </w:r>
      <w:r w:rsidRPr="00375C87">
        <w:rPr>
          <w:rFonts w:eastAsiaTheme="minorEastAsia"/>
          <w:b/>
          <w:szCs w:val="24"/>
        </w:rPr>
        <w:t>:</w:t>
      </w:r>
      <w:r>
        <w:rPr>
          <w:rFonts w:eastAsiaTheme="minorEastAsia"/>
          <w:szCs w:val="24"/>
        </w:rPr>
        <w:t xml:space="preserve"> Mechanisms should be introduced to protect important DL transmissions and the corresponding channel access opportunities, especially for SS/PBCH block transmission.</w:t>
      </w:r>
    </w:p>
    <w:p w14:paraId="52216C37" w14:textId="1A72AB29" w:rsidR="003921F1" w:rsidRDefault="003921F1" w:rsidP="003921F1">
      <w:pPr>
        <w:adjustRightInd w:val="0"/>
        <w:spacing w:after="0" w:afterAutospacing="0"/>
        <w:rPr>
          <w:rFonts w:eastAsiaTheme="minorEastAsia"/>
          <w:szCs w:val="24"/>
        </w:rPr>
      </w:pPr>
      <w:r w:rsidRPr="00FB2013">
        <w:rPr>
          <w:rFonts w:eastAsiaTheme="minorEastAsia"/>
          <w:b/>
          <w:szCs w:val="24"/>
        </w:rPr>
        <w:t xml:space="preserve">Proposal 1: </w:t>
      </w:r>
      <w:r w:rsidRPr="00FB2013">
        <w:rPr>
          <w:rFonts w:eastAsiaTheme="minorEastAsia"/>
          <w:szCs w:val="24"/>
        </w:rPr>
        <w:t>To provide protection to SS/PBCH block transmission in FBE mode</w:t>
      </w:r>
      <w:r>
        <w:rPr>
          <w:rFonts w:eastAsiaTheme="minorEastAsia"/>
          <w:szCs w:val="24"/>
        </w:rPr>
        <w:t xml:space="preserve"> with UE FFP configuration</w:t>
      </w:r>
      <w:r w:rsidRPr="00FB2013">
        <w:rPr>
          <w:rFonts w:eastAsiaTheme="minorEastAsia"/>
          <w:szCs w:val="24"/>
        </w:rPr>
        <w:t>,</w:t>
      </w:r>
      <w:r>
        <w:rPr>
          <w:rFonts w:eastAsiaTheme="minorEastAsia"/>
          <w:szCs w:val="24"/>
        </w:rPr>
        <w:t xml:space="preserve"> a potential solution is to</w:t>
      </w:r>
      <w:r w:rsidRPr="00FB2013">
        <w:rPr>
          <w:rFonts w:eastAsiaTheme="minorEastAsia"/>
          <w:szCs w:val="24"/>
        </w:rPr>
        <w:t xml:space="preserve"> </w:t>
      </w:r>
      <w:r>
        <w:rPr>
          <w:rFonts w:eastAsiaTheme="minorEastAsia"/>
          <w:szCs w:val="24"/>
        </w:rPr>
        <w:t>d</w:t>
      </w:r>
      <w:r w:rsidRPr="002B52CB">
        <w:rPr>
          <w:rFonts w:eastAsiaTheme="minorEastAsia"/>
          <w:szCs w:val="24"/>
        </w:rPr>
        <w:t>isable the UE FFP that overlaps with a gNB idle period after which SS/PBCH block would be transmitted.</w:t>
      </w:r>
    </w:p>
    <w:p w14:paraId="12F4A36E" w14:textId="77777777" w:rsidR="00B32202" w:rsidRPr="00FB2013" w:rsidRDefault="00B32202" w:rsidP="00B32202">
      <w:pPr>
        <w:adjustRightInd w:val="0"/>
        <w:spacing w:after="0" w:afterAutospacing="0"/>
        <w:rPr>
          <w:rFonts w:eastAsiaTheme="minorEastAsia"/>
          <w:b/>
          <w:szCs w:val="24"/>
        </w:rPr>
      </w:pPr>
      <w:r w:rsidRPr="00FB2013">
        <w:rPr>
          <w:rFonts w:eastAsiaTheme="minorEastAsia"/>
          <w:b/>
          <w:szCs w:val="24"/>
        </w:rPr>
        <w:t xml:space="preserve">Proposal </w:t>
      </w:r>
      <w:r>
        <w:rPr>
          <w:rFonts w:eastAsiaTheme="minorEastAsia"/>
          <w:b/>
          <w:szCs w:val="24"/>
        </w:rPr>
        <w:t>2</w:t>
      </w:r>
      <w:r w:rsidRPr="00FB2013">
        <w:rPr>
          <w:rFonts w:eastAsiaTheme="minorEastAsia"/>
          <w:b/>
          <w:szCs w:val="24"/>
        </w:rPr>
        <w:t xml:space="preserve">: </w:t>
      </w:r>
      <w:r>
        <w:rPr>
          <w:rFonts w:eastAsiaTheme="minorEastAsia"/>
          <w:szCs w:val="24"/>
        </w:rPr>
        <w:t xml:space="preserve">For the UE configured with </w:t>
      </w:r>
      <w:proofErr w:type="spellStart"/>
      <w:r w:rsidRPr="00A5017F">
        <w:rPr>
          <w:rFonts w:eastAsiaTheme="minorEastAsia"/>
          <w:i/>
          <w:iCs/>
          <w:szCs w:val="24"/>
        </w:rPr>
        <w:t>ue-SemiStaticChannelAccessConfig</w:t>
      </w:r>
      <w:proofErr w:type="spellEnd"/>
      <w:r>
        <w:rPr>
          <w:rFonts w:eastAsiaTheme="minorEastAsia"/>
          <w:szCs w:val="24"/>
        </w:rPr>
        <w:t>, any DL transmission burst detection except for the reception of the DCI in which the corresponding field(s) indicates “sharing a gNB-initiated COT” does not lead to the UE’s decision that the gNB initiated the COT.</w:t>
      </w:r>
    </w:p>
    <w:p w14:paraId="2BAEF38B" w14:textId="77777777" w:rsidR="003E6FB5" w:rsidRPr="003921F1" w:rsidRDefault="003E6FB5" w:rsidP="00E3290D">
      <w:pPr>
        <w:adjustRightInd w:val="0"/>
        <w:spacing w:after="0" w:afterAutospacing="0"/>
        <w:rPr>
          <w:rFonts w:eastAsiaTheme="minorEastAsia"/>
          <w:szCs w:val="24"/>
        </w:rPr>
      </w:pPr>
    </w:p>
    <w:p w14:paraId="4B21DD0D" w14:textId="77777777" w:rsidR="00C30613"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References</w:t>
      </w:r>
    </w:p>
    <w:p w14:paraId="7C407247" w14:textId="64395165" w:rsidR="006965FB" w:rsidRPr="00DD7E36" w:rsidRDefault="006965FB" w:rsidP="00415375">
      <w:pPr>
        <w:pStyle w:val="textintend2"/>
        <w:numPr>
          <w:ilvl w:val="1"/>
          <w:numId w:val="12"/>
        </w:numPr>
        <w:spacing w:after="0"/>
        <w:rPr>
          <w:szCs w:val="24"/>
        </w:rPr>
      </w:pPr>
      <w:r w:rsidRPr="00DD7E36">
        <w:rPr>
          <w:szCs w:val="24"/>
        </w:rPr>
        <w:t>3GPP WID</w:t>
      </w:r>
      <w:r w:rsidR="00415375" w:rsidRPr="00DD7E36">
        <w:rPr>
          <w:szCs w:val="24"/>
        </w:rPr>
        <w:t>, “Enhanced Industrial Internet of Things (IoT) and ultra-reliable and low latency communication (URLLC) support for NR”</w:t>
      </w:r>
      <w:r w:rsidRPr="00DD7E36">
        <w:rPr>
          <w:szCs w:val="24"/>
        </w:rPr>
        <w:t>,</w:t>
      </w:r>
      <w:r w:rsidR="00B7121C" w:rsidRPr="00DD7E36">
        <w:rPr>
          <w:szCs w:val="24"/>
        </w:rPr>
        <w:t xml:space="preserve"> RP-201310</w:t>
      </w:r>
    </w:p>
    <w:p w14:paraId="64B4BC72" w14:textId="686C7442" w:rsidR="00E42D4D" w:rsidRPr="004E713C" w:rsidRDefault="00E30CF9" w:rsidP="00767504">
      <w:pPr>
        <w:pStyle w:val="textintend2"/>
        <w:numPr>
          <w:ilvl w:val="1"/>
          <w:numId w:val="12"/>
        </w:numPr>
        <w:spacing w:after="0"/>
        <w:rPr>
          <w:szCs w:val="24"/>
        </w:rPr>
      </w:pPr>
      <w:r w:rsidRPr="004E713C">
        <w:rPr>
          <w:szCs w:val="24"/>
        </w:rPr>
        <w:t>3GPP RAN1</w:t>
      </w:r>
      <w:r w:rsidR="000B05A2" w:rsidRPr="004E713C">
        <w:rPr>
          <w:szCs w:val="24"/>
        </w:rPr>
        <w:t>#106</w:t>
      </w:r>
      <w:r w:rsidR="004E713C" w:rsidRPr="004E713C">
        <w:rPr>
          <w:szCs w:val="24"/>
        </w:rPr>
        <w:t>bis</w:t>
      </w:r>
      <w:r w:rsidR="000B05A2" w:rsidRPr="004E713C">
        <w:rPr>
          <w:szCs w:val="24"/>
        </w:rPr>
        <w:t xml:space="preserve">-e Chairman’s note, </w:t>
      </w:r>
      <w:r w:rsidR="004E713C" w:rsidRPr="004E713C">
        <w:rPr>
          <w:szCs w:val="24"/>
        </w:rPr>
        <w:t>October</w:t>
      </w:r>
      <w:r w:rsidR="00480471" w:rsidRPr="004E713C">
        <w:rPr>
          <w:szCs w:val="24"/>
        </w:rPr>
        <w:t xml:space="preserve"> 2021</w:t>
      </w:r>
    </w:p>
    <w:sectPr w:rsidR="00E42D4D" w:rsidRPr="004E713C" w:rsidSect="005661E8">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D4A9C" w14:textId="77777777" w:rsidR="003956E6" w:rsidRDefault="003956E6">
      <w:pPr>
        <w:spacing w:after="0"/>
      </w:pPr>
      <w:r>
        <w:separator/>
      </w:r>
    </w:p>
  </w:endnote>
  <w:endnote w:type="continuationSeparator" w:id="0">
    <w:p w14:paraId="010AA714" w14:textId="77777777" w:rsidR="003956E6" w:rsidRDefault="00395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7448" w14:textId="77777777" w:rsidR="003956E6" w:rsidRDefault="003956E6">
      <w:pPr>
        <w:spacing w:after="0"/>
      </w:pPr>
      <w:r>
        <w:separator/>
      </w:r>
    </w:p>
  </w:footnote>
  <w:footnote w:type="continuationSeparator" w:id="0">
    <w:p w14:paraId="01B11F87" w14:textId="77777777" w:rsidR="003956E6" w:rsidRDefault="003956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5F39F2"/>
    <w:multiLevelType w:val="hybridMultilevel"/>
    <w:tmpl w:val="85D81CE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FF1EF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42A2608"/>
    <w:multiLevelType w:val="hybridMultilevel"/>
    <w:tmpl w:val="567E9D6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10FE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8D0F33"/>
    <w:multiLevelType w:val="hybridMultilevel"/>
    <w:tmpl w:val="9A46FEA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F8C0034"/>
    <w:multiLevelType w:val="hybridMultilevel"/>
    <w:tmpl w:val="FD1EE9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6"/>
  </w:num>
  <w:num w:numId="3">
    <w:abstractNumId w:val="21"/>
  </w:num>
  <w:num w:numId="4">
    <w:abstractNumId w:val="22"/>
  </w:num>
  <w:num w:numId="5">
    <w:abstractNumId w:val="19"/>
  </w:num>
  <w:num w:numId="6">
    <w:abstractNumId w:val="1"/>
  </w:num>
  <w:num w:numId="7">
    <w:abstractNumId w:val="40"/>
  </w:num>
  <w:num w:numId="8">
    <w:abstractNumId w:val="18"/>
  </w:num>
  <w:num w:numId="9">
    <w:abstractNumId w:val="31"/>
  </w:num>
  <w:num w:numId="10">
    <w:abstractNumId w:val="38"/>
  </w:num>
  <w:num w:numId="11">
    <w:abstractNumId w:val="28"/>
  </w:num>
  <w:num w:numId="12">
    <w:abstractNumId w:val="17"/>
  </w:num>
  <w:num w:numId="13">
    <w:abstractNumId w:val="0"/>
  </w:num>
  <w:num w:numId="14">
    <w:abstractNumId w:val="10"/>
  </w:num>
  <w:num w:numId="15">
    <w:abstractNumId w:val="39"/>
  </w:num>
  <w:num w:numId="16">
    <w:abstractNumId w:val="9"/>
  </w:num>
  <w:num w:numId="17">
    <w:abstractNumId w:val="14"/>
  </w:num>
  <w:num w:numId="18">
    <w:abstractNumId w:val="16"/>
  </w:num>
  <w:num w:numId="19">
    <w:abstractNumId w:val="23"/>
  </w:num>
  <w:num w:numId="20">
    <w:abstractNumId w:val="29"/>
  </w:num>
  <w:num w:numId="21">
    <w:abstractNumId w:val="5"/>
  </w:num>
  <w:num w:numId="22">
    <w:abstractNumId w:val="30"/>
  </w:num>
  <w:num w:numId="23">
    <w:abstractNumId w:val="25"/>
  </w:num>
  <w:num w:numId="24">
    <w:abstractNumId w:val="33"/>
  </w:num>
  <w:num w:numId="25">
    <w:abstractNumId w:val="20"/>
  </w:num>
  <w:num w:numId="26">
    <w:abstractNumId w:val="41"/>
  </w:num>
  <w:num w:numId="27">
    <w:abstractNumId w:val="32"/>
  </w:num>
  <w:num w:numId="28">
    <w:abstractNumId w:val="35"/>
  </w:num>
  <w:num w:numId="29">
    <w:abstractNumId w:val="34"/>
  </w:num>
  <w:num w:numId="30">
    <w:abstractNumId w:val="4"/>
  </w:num>
  <w:num w:numId="31">
    <w:abstractNumId w:val="11"/>
  </w:num>
  <w:num w:numId="32">
    <w:abstractNumId w:val="12"/>
  </w:num>
  <w:num w:numId="33">
    <w:abstractNumId w:val="13"/>
  </w:num>
  <w:num w:numId="34">
    <w:abstractNumId w:val="7"/>
  </w:num>
  <w:num w:numId="35">
    <w:abstractNumId w:val="8"/>
  </w:num>
  <w:num w:numId="36">
    <w:abstractNumId w:val="15"/>
  </w:num>
  <w:num w:numId="37">
    <w:abstractNumId w:val="3"/>
  </w:num>
  <w:num w:numId="38">
    <w:abstractNumId w:val="9"/>
  </w:num>
  <w:num w:numId="39">
    <w:abstractNumId w:val="41"/>
  </w:num>
  <w:num w:numId="40">
    <w:abstractNumId w:val="33"/>
  </w:num>
  <w:num w:numId="41">
    <w:abstractNumId w:val="20"/>
  </w:num>
  <w:num w:numId="42">
    <w:abstractNumId w:val="42"/>
  </w:num>
  <w:num w:numId="43">
    <w:abstractNumId w:val="6"/>
  </w:num>
  <w:num w:numId="44">
    <w:abstractNumId w:val="24"/>
  </w:num>
  <w:num w:numId="45">
    <w:abstractNumId w:val="27"/>
  </w:num>
  <w:num w:numId="46">
    <w:abstractNumId w:val="26"/>
  </w:num>
  <w:num w:numId="47">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3EC7"/>
    <w:rsid w:val="00014DB6"/>
    <w:rsid w:val="00015E57"/>
    <w:rsid w:val="0001731E"/>
    <w:rsid w:val="0001791A"/>
    <w:rsid w:val="00017FA2"/>
    <w:rsid w:val="00020315"/>
    <w:rsid w:val="000208BB"/>
    <w:rsid w:val="00020A8A"/>
    <w:rsid w:val="00021219"/>
    <w:rsid w:val="000215E4"/>
    <w:rsid w:val="00021699"/>
    <w:rsid w:val="00021802"/>
    <w:rsid w:val="00021B9A"/>
    <w:rsid w:val="00022153"/>
    <w:rsid w:val="000226D4"/>
    <w:rsid w:val="0002272B"/>
    <w:rsid w:val="00022E29"/>
    <w:rsid w:val="000245D1"/>
    <w:rsid w:val="00024B42"/>
    <w:rsid w:val="00024EAE"/>
    <w:rsid w:val="000252CD"/>
    <w:rsid w:val="00027329"/>
    <w:rsid w:val="00027921"/>
    <w:rsid w:val="000303EF"/>
    <w:rsid w:val="00030914"/>
    <w:rsid w:val="0003262F"/>
    <w:rsid w:val="000326B7"/>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2DE0"/>
    <w:rsid w:val="0004334E"/>
    <w:rsid w:val="00043740"/>
    <w:rsid w:val="0004405E"/>
    <w:rsid w:val="0004427F"/>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55F"/>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65FA"/>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6422"/>
    <w:rsid w:val="00097402"/>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05A2"/>
    <w:rsid w:val="000B16D3"/>
    <w:rsid w:val="000B1C9C"/>
    <w:rsid w:val="000B1E14"/>
    <w:rsid w:val="000B1E3F"/>
    <w:rsid w:val="000B30D7"/>
    <w:rsid w:val="000B3464"/>
    <w:rsid w:val="000B47CD"/>
    <w:rsid w:val="000B4C32"/>
    <w:rsid w:val="000B4ECC"/>
    <w:rsid w:val="000B4F61"/>
    <w:rsid w:val="000B5FAC"/>
    <w:rsid w:val="000B6AC9"/>
    <w:rsid w:val="000B76DA"/>
    <w:rsid w:val="000B76EE"/>
    <w:rsid w:val="000B78BB"/>
    <w:rsid w:val="000B7904"/>
    <w:rsid w:val="000B7B57"/>
    <w:rsid w:val="000B7CFE"/>
    <w:rsid w:val="000C090F"/>
    <w:rsid w:val="000C0C8A"/>
    <w:rsid w:val="000C0E44"/>
    <w:rsid w:val="000C3ED7"/>
    <w:rsid w:val="000C4C21"/>
    <w:rsid w:val="000C52F1"/>
    <w:rsid w:val="000C658C"/>
    <w:rsid w:val="000C6B1E"/>
    <w:rsid w:val="000D052D"/>
    <w:rsid w:val="000D0665"/>
    <w:rsid w:val="000D098D"/>
    <w:rsid w:val="000D157A"/>
    <w:rsid w:val="000D3329"/>
    <w:rsid w:val="000D340E"/>
    <w:rsid w:val="000D3CE3"/>
    <w:rsid w:val="000D497F"/>
    <w:rsid w:val="000D4C20"/>
    <w:rsid w:val="000D4DD2"/>
    <w:rsid w:val="000D5327"/>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5922"/>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142"/>
    <w:rsid w:val="00135E4C"/>
    <w:rsid w:val="00136B2D"/>
    <w:rsid w:val="00137204"/>
    <w:rsid w:val="00137596"/>
    <w:rsid w:val="0013796C"/>
    <w:rsid w:val="0014115C"/>
    <w:rsid w:val="00141F35"/>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4377"/>
    <w:rsid w:val="00155A08"/>
    <w:rsid w:val="00155A7E"/>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650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82D"/>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3E3C"/>
    <w:rsid w:val="001C4584"/>
    <w:rsid w:val="001C46BA"/>
    <w:rsid w:val="001C4AAD"/>
    <w:rsid w:val="001C5F7D"/>
    <w:rsid w:val="001C68D8"/>
    <w:rsid w:val="001C6B3A"/>
    <w:rsid w:val="001C7D9F"/>
    <w:rsid w:val="001D0E5F"/>
    <w:rsid w:val="001D25C7"/>
    <w:rsid w:val="001D36F7"/>
    <w:rsid w:val="001D3880"/>
    <w:rsid w:val="001D43C9"/>
    <w:rsid w:val="001D477F"/>
    <w:rsid w:val="001D4D44"/>
    <w:rsid w:val="001D6301"/>
    <w:rsid w:val="001D7F40"/>
    <w:rsid w:val="001E0100"/>
    <w:rsid w:val="001E1865"/>
    <w:rsid w:val="001E1BF9"/>
    <w:rsid w:val="001E2784"/>
    <w:rsid w:val="001E3C73"/>
    <w:rsid w:val="001E544E"/>
    <w:rsid w:val="001E56B4"/>
    <w:rsid w:val="001E5821"/>
    <w:rsid w:val="001E5E53"/>
    <w:rsid w:val="001E6501"/>
    <w:rsid w:val="001E667D"/>
    <w:rsid w:val="001E720B"/>
    <w:rsid w:val="001E7A0E"/>
    <w:rsid w:val="001F0286"/>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39C"/>
    <w:rsid w:val="0020063E"/>
    <w:rsid w:val="00200D20"/>
    <w:rsid w:val="00201A69"/>
    <w:rsid w:val="00202FD6"/>
    <w:rsid w:val="00203197"/>
    <w:rsid w:val="00203574"/>
    <w:rsid w:val="00203CDF"/>
    <w:rsid w:val="002041F4"/>
    <w:rsid w:val="00205594"/>
    <w:rsid w:val="002057A9"/>
    <w:rsid w:val="00206423"/>
    <w:rsid w:val="00210560"/>
    <w:rsid w:val="002109CB"/>
    <w:rsid w:val="00210AB2"/>
    <w:rsid w:val="0021111F"/>
    <w:rsid w:val="002112AD"/>
    <w:rsid w:val="00211B08"/>
    <w:rsid w:val="00212673"/>
    <w:rsid w:val="002126A5"/>
    <w:rsid w:val="00212FC4"/>
    <w:rsid w:val="00213098"/>
    <w:rsid w:val="00215066"/>
    <w:rsid w:val="002158B3"/>
    <w:rsid w:val="00215DA2"/>
    <w:rsid w:val="0021631C"/>
    <w:rsid w:val="00216E46"/>
    <w:rsid w:val="00217A66"/>
    <w:rsid w:val="00217B1E"/>
    <w:rsid w:val="00217D48"/>
    <w:rsid w:val="00221947"/>
    <w:rsid w:val="00221B0A"/>
    <w:rsid w:val="00221C1B"/>
    <w:rsid w:val="00222DE7"/>
    <w:rsid w:val="0022331B"/>
    <w:rsid w:val="002244F4"/>
    <w:rsid w:val="00224BDC"/>
    <w:rsid w:val="00224F47"/>
    <w:rsid w:val="00224F54"/>
    <w:rsid w:val="00225BB0"/>
    <w:rsid w:val="00227027"/>
    <w:rsid w:val="0023077B"/>
    <w:rsid w:val="00230B60"/>
    <w:rsid w:val="002311AA"/>
    <w:rsid w:val="002312C0"/>
    <w:rsid w:val="002317C8"/>
    <w:rsid w:val="0023187B"/>
    <w:rsid w:val="00233143"/>
    <w:rsid w:val="0023317B"/>
    <w:rsid w:val="00233382"/>
    <w:rsid w:val="00233AB2"/>
    <w:rsid w:val="00233F50"/>
    <w:rsid w:val="002342E3"/>
    <w:rsid w:val="00234BE4"/>
    <w:rsid w:val="00235060"/>
    <w:rsid w:val="0023513D"/>
    <w:rsid w:val="00235340"/>
    <w:rsid w:val="0023564D"/>
    <w:rsid w:val="00235662"/>
    <w:rsid w:val="00235B09"/>
    <w:rsid w:val="002360C0"/>
    <w:rsid w:val="00237F9F"/>
    <w:rsid w:val="0024013C"/>
    <w:rsid w:val="002403E9"/>
    <w:rsid w:val="00240656"/>
    <w:rsid w:val="002414B2"/>
    <w:rsid w:val="00241A59"/>
    <w:rsid w:val="00241A68"/>
    <w:rsid w:val="00241ABB"/>
    <w:rsid w:val="00244D8D"/>
    <w:rsid w:val="00245187"/>
    <w:rsid w:val="00246235"/>
    <w:rsid w:val="002469E1"/>
    <w:rsid w:val="0024712B"/>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5E84"/>
    <w:rsid w:val="00257373"/>
    <w:rsid w:val="00257715"/>
    <w:rsid w:val="00257D70"/>
    <w:rsid w:val="002608AC"/>
    <w:rsid w:val="0026123A"/>
    <w:rsid w:val="00261FAC"/>
    <w:rsid w:val="00262CB7"/>
    <w:rsid w:val="00262F89"/>
    <w:rsid w:val="002631A9"/>
    <w:rsid w:val="00263E22"/>
    <w:rsid w:val="002643A3"/>
    <w:rsid w:val="00265167"/>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602"/>
    <w:rsid w:val="00295C6E"/>
    <w:rsid w:val="00295DA0"/>
    <w:rsid w:val="00295EB0"/>
    <w:rsid w:val="00296399"/>
    <w:rsid w:val="00296415"/>
    <w:rsid w:val="00296E74"/>
    <w:rsid w:val="002A18E0"/>
    <w:rsid w:val="002A217B"/>
    <w:rsid w:val="002A3D63"/>
    <w:rsid w:val="002A491A"/>
    <w:rsid w:val="002A5BF6"/>
    <w:rsid w:val="002A6996"/>
    <w:rsid w:val="002A6DFC"/>
    <w:rsid w:val="002A7A0B"/>
    <w:rsid w:val="002B020C"/>
    <w:rsid w:val="002B04F0"/>
    <w:rsid w:val="002B0E45"/>
    <w:rsid w:val="002B24AF"/>
    <w:rsid w:val="002B2949"/>
    <w:rsid w:val="002B38A3"/>
    <w:rsid w:val="002B43D6"/>
    <w:rsid w:val="002B4E17"/>
    <w:rsid w:val="002B4E27"/>
    <w:rsid w:val="002B4E6F"/>
    <w:rsid w:val="002B5351"/>
    <w:rsid w:val="002B5C83"/>
    <w:rsid w:val="002B62F1"/>
    <w:rsid w:val="002B7319"/>
    <w:rsid w:val="002B7CC7"/>
    <w:rsid w:val="002B7D7D"/>
    <w:rsid w:val="002C0893"/>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28FD"/>
    <w:rsid w:val="002D353A"/>
    <w:rsid w:val="002D4031"/>
    <w:rsid w:val="002D459A"/>
    <w:rsid w:val="002D4619"/>
    <w:rsid w:val="002D4A3D"/>
    <w:rsid w:val="002D4D48"/>
    <w:rsid w:val="002D5154"/>
    <w:rsid w:val="002D5443"/>
    <w:rsid w:val="002D5C9F"/>
    <w:rsid w:val="002D63D7"/>
    <w:rsid w:val="002D69BF"/>
    <w:rsid w:val="002D6D6D"/>
    <w:rsid w:val="002E00E2"/>
    <w:rsid w:val="002E0474"/>
    <w:rsid w:val="002E075D"/>
    <w:rsid w:val="002E19F7"/>
    <w:rsid w:val="002E1E65"/>
    <w:rsid w:val="002E1E83"/>
    <w:rsid w:val="002E275C"/>
    <w:rsid w:val="002E5821"/>
    <w:rsid w:val="002E5CC7"/>
    <w:rsid w:val="002E6C7A"/>
    <w:rsid w:val="002E6D05"/>
    <w:rsid w:val="002E7307"/>
    <w:rsid w:val="002E7735"/>
    <w:rsid w:val="002E7F38"/>
    <w:rsid w:val="002F082C"/>
    <w:rsid w:val="002F095F"/>
    <w:rsid w:val="002F1281"/>
    <w:rsid w:val="002F1375"/>
    <w:rsid w:val="002F1794"/>
    <w:rsid w:val="002F1C28"/>
    <w:rsid w:val="002F2F6A"/>
    <w:rsid w:val="002F3593"/>
    <w:rsid w:val="002F3E1B"/>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B7A"/>
    <w:rsid w:val="00312BFF"/>
    <w:rsid w:val="00312E89"/>
    <w:rsid w:val="00313920"/>
    <w:rsid w:val="00313FC7"/>
    <w:rsid w:val="00314679"/>
    <w:rsid w:val="00314835"/>
    <w:rsid w:val="00315EEC"/>
    <w:rsid w:val="00316736"/>
    <w:rsid w:val="00316A41"/>
    <w:rsid w:val="00316B6A"/>
    <w:rsid w:val="0031749B"/>
    <w:rsid w:val="003174AB"/>
    <w:rsid w:val="00317F5D"/>
    <w:rsid w:val="003204C2"/>
    <w:rsid w:val="003207AB"/>
    <w:rsid w:val="0032095E"/>
    <w:rsid w:val="00320D9A"/>
    <w:rsid w:val="00321415"/>
    <w:rsid w:val="00321488"/>
    <w:rsid w:val="00321977"/>
    <w:rsid w:val="003221F9"/>
    <w:rsid w:val="003223D4"/>
    <w:rsid w:val="00322B03"/>
    <w:rsid w:val="00322E7B"/>
    <w:rsid w:val="003240DA"/>
    <w:rsid w:val="003243A0"/>
    <w:rsid w:val="003246C5"/>
    <w:rsid w:val="00324D8B"/>
    <w:rsid w:val="0032585B"/>
    <w:rsid w:val="00326F23"/>
    <w:rsid w:val="003270CA"/>
    <w:rsid w:val="0032773A"/>
    <w:rsid w:val="0032798D"/>
    <w:rsid w:val="00327AE9"/>
    <w:rsid w:val="00330324"/>
    <w:rsid w:val="003303FB"/>
    <w:rsid w:val="0033097B"/>
    <w:rsid w:val="00331193"/>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9DC"/>
    <w:rsid w:val="00344F1E"/>
    <w:rsid w:val="003451B2"/>
    <w:rsid w:val="00346E30"/>
    <w:rsid w:val="00347258"/>
    <w:rsid w:val="00347BEA"/>
    <w:rsid w:val="003507D3"/>
    <w:rsid w:val="00350BD8"/>
    <w:rsid w:val="00350C5D"/>
    <w:rsid w:val="00351135"/>
    <w:rsid w:val="0035129C"/>
    <w:rsid w:val="00352E06"/>
    <w:rsid w:val="00353189"/>
    <w:rsid w:val="003531FF"/>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1A2"/>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5C87"/>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061E"/>
    <w:rsid w:val="00391143"/>
    <w:rsid w:val="003921F1"/>
    <w:rsid w:val="003923CD"/>
    <w:rsid w:val="003924AD"/>
    <w:rsid w:val="00392AF9"/>
    <w:rsid w:val="003934D9"/>
    <w:rsid w:val="00393B61"/>
    <w:rsid w:val="00394A28"/>
    <w:rsid w:val="00394B51"/>
    <w:rsid w:val="00394E5A"/>
    <w:rsid w:val="00395370"/>
    <w:rsid w:val="003956E6"/>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A7E97"/>
    <w:rsid w:val="003B0A06"/>
    <w:rsid w:val="003B15B3"/>
    <w:rsid w:val="003B166A"/>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0F27"/>
    <w:rsid w:val="003E11DA"/>
    <w:rsid w:val="003E1233"/>
    <w:rsid w:val="003E19A6"/>
    <w:rsid w:val="003E3218"/>
    <w:rsid w:val="003E5CD8"/>
    <w:rsid w:val="003E6522"/>
    <w:rsid w:val="003E6FB5"/>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0A23"/>
    <w:rsid w:val="0040157F"/>
    <w:rsid w:val="00402182"/>
    <w:rsid w:val="00402B7E"/>
    <w:rsid w:val="00402C56"/>
    <w:rsid w:val="00402EF9"/>
    <w:rsid w:val="00405030"/>
    <w:rsid w:val="00405919"/>
    <w:rsid w:val="00406240"/>
    <w:rsid w:val="004068F6"/>
    <w:rsid w:val="00407A01"/>
    <w:rsid w:val="00407A2A"/>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77C"/>
    <w:rsid w:val="00426D3B"/>
    <w:rsid w:val="00427852"/>
    <w:rsid w:val="0043045D"/>
    <w:rsid w:val="00430766"/>
    <w:rsid w:val="00430B47"/>
    <w:rsid w:val="00431711"/>
    <w:rsid w:val="00431A1F"/>
    <w:rsid w:val="004320F9"/>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47B69"/>
    <w:rsid w:val="00447F6A"/>
    <w:rsid w:val="00450939"/>
    <w:rsid w:val="00451DA5"/>
    <w:rsid w:val="00452F80"/>
    <w:rsid w:val="004530B7"/>
    <w:rsid w:val="00453A53"/>
    <w:rsid w:val="00453CC9"/>
    <w:rsid w:val="00454B27"/>
    <w:rsid w:val="00454DB4"/>
    <w:rsid w:val="00455136"/>
    <w:rsid w:val="00455B87"/>
    <w:rsid w:val="004562FC"/>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19EF"/>
    <w:rsid w:val="00472353"/>
    <w:rsid w:val="004737B8"/>
    <w:rsid w:val="0047495F"/>
    <w:rsid w:val="00474B84"/>
    <w:rsid w:val="00475DD3"/>
    <w:rsid w:val="00476639"/>
    <w:rsid w:val="0047683F"/>
    <w:rsid w:val="00476B18"/>
    <w:rsid w:val="0047702E"/>
    <w:rsid w:val="004770B8"/>
    <w:rsid w:val="004775DC"/>
    <w:rsid w:val="004777EE"/>
    <w:rsid w:val="00477CB6"/>
    <w:rsid w:val="00480471"/>
    <w:rsid w:val="00480659"/>
    <w:rsid w:val="00480A2A"/>
    <w:rsid w:val="00480C38"/>
    <w:rsid w:val="004810E8"/>
    <w:rsid w:val="004813C9"/>
    <w:rsid w:val="0048281A"/>
    <w:rsid w:val="004828F1"/>
    <w:rsid w:val="00482DCD"/>
    <w:rsid w:val="0048323F"/>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53B"/>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861"/>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43AD"/>
    <w:rsid w:val="004D518B"/>
    <w:rsid w:val="004D58C1"/>
    <w:rsid w:val="004D676D"/>
    <w:rsid w:val="004D6A26"/>
    <w:rsid w:val="004D703B"/>
    <w:rsid w:val="004D798A"/>
    <w:rsid w:val="004D7E44"/>
    <w:rsid w:val="004E051B"/>
    <w:rsid w:val="004E0CF4"/>
    <w:rsid w:val="004E1EFC"/>
    <w:rsid w:val="004E318F"/>
    <w:rsid w:val="004E3364"/>
    <w:rsid w:val="004E3BAE"/>
    <w:rsid w:val="004E3FC2"/>
    <w:rsid w:val="004E4743"/>
    <w:rsid w:val="004E4D65"/>
    <w:rsid w:val="004E50F5"/>
    <w:rsid w:val="004E6171"/>
    <w:rsid w:val="004E6FFE"/>
    <w:rsid w:val="004E713C"/>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634D"/>
    <w:rsid w:val="004F719F"/>
    <w:rsid w:val="00500172"/>
    <w:rsid w:val="00500317"/>
    <w:rsid w:val="00500A05"/>
    <w:rsid w:val="00501086"/>
    <w:rsid w:val="00501C27"/>
    <w:rsid w:val="005028C4"/>
    <w:rsid w:val="005029C8"/>
    <w:rsid w:val="00503570"/>
    <w:rsid w:val="0050372C"/>
    <w:rsid w:val="00503771"/>
    <w:rsid w:val="00503991"/>
    <w:rsid w:val="0050408E"/>
    <w:rsid w:val="00504866"/>
    <w:rsid w:val="00504AB7"/>
    <w:rsid w:val="00504E42"/>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B44"/>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1D9F"/>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883"/>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38D"/>
    <w:rsid w:val="00597EC9"/>
    <w:rsid w:val="005A051A"/>
    <w:rsid w:val="005A0FE5"/>
    <w:rsid w:val="005A14D2"/>
    <w:rsid w:val="005A199D"/>
    <w:rsid w:val="005A1B59"/>
    <w:rsid w:val="005A247F"/>
    <w:rsid w:val="005A3408"/>
    <w:rsid w:val="005A3D63"/>
    <w:rsid w:val="005A5459"/>
    <w:rsid w:val="005A60F0"/>
    <w:rsid w:val="005A675F"/>
    <w:rsid w:val="005A78EE"/>
    <w:rsid w:val="005B0F90"/>
    <w:rsid w:val="005B0F92"/>
    <w:rsid w:val="005B133B"/>
    <w:rsid w:val="005B1437"/>
    <w:rsid w:val="005B238E"/>
    <w:rsid w:val="005B240B"/>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5D1"/>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861"/>
    <w:rsid w:val="00623C12"/>
    <w:rsid w:val="006258DA"/>
    <w:rsid w:val="006259BF"/>
    <w:rsid w:val="00626CE5"/>
    <w:rsid w:val="00630016"/>
    <w:rsid w:val="00630418"/>
    <w:rsid w:val="006314BB"/>
    <w:rsid w:val="0063155F"/>
    <w:rsid w:val="00631A71"/>
    <w:rsid w:val="006325D8"/>
    <w:rsid w:val="00632F42"/>
    <w:rsid w:val="006332A7"/>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397"/>
    <w:rsid w:val="00677AF3"/>
    <w:rsid w:val="00677F64"/>
    <w:rsid w:val="00680155"/>
    <w:rsid w:val="006815AA"/>
    <w:rsid w:val="00682704"/>
    <w:rsid w:val="00682F26"/>
    <w:rsid w:val="006830C7"/>
    <w:rsid w:val="00683DFB"/>
    <w:rsid w:val="00683F57"/>
    <w:rsid w:val="006840EC"/>
    <w:rsid w:val="00684824"/>
    <w:rsid w:val="006852ED"/>
    <w:rsid w:val="00685C32"/>
    <w:rsid w:val="00685EA9"/>
    <w:rsid w:val="0068716E"/>
    <w:rsid w:val="00687CBE"/>
    <w:rsid w:val="006922A8"/>
    <w:rsid w:val="00692788"/>
    <w:rsid w:val="006928D2"/>
    <w:rsid w:val="0069297A"/>
    <w:rsid w:val="00692C8A"/>
    <w:rsid w:val="006933AD"/>
    <w:rsid w:val="00693C3A"/>
    <w:rsid w:val="0069569D"/>
    <w:rsid w:val="00695A26"/>
    <w:rsid w:val="00695B2C"/>
    <w:rsid w:val="006964D8"/>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6FE6"/>
    <w:rsid w:val="006A749E"/>
    <w:rsid w:val="006B0C06"/>
    <w:rsid w:val="006B11AA"/>
    <w:rsid w:val="006B307F"/>
    <w:rsid w:val="006B4493"/>
    <w:rsid w:val="006B46C3"/>
    <w:rsid w:val="006B4F84"/>
    <w:rsid w:val="006B6681"/>
    <w:rsid w:val="006B6702"/>
    <w:rsid w:val="006B6B23"/>
    <w:rsid w:val="006B78CD"/>
    <w:rsid w:val="006C0745"/>
    <w:rsid w:val="006C1212"/>
    <w:rsid w:val="006C1513"/>
    <w:rsid w:val="006C1DD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0DE9"/>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6903"/>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1FD5"/>
    <w:rsid w:val="00712645"/>
    <w:rsid w:val="00712CD7"/>
    <w:rsid w:val="007138D8"/>
    <w:rsid w:val="007138EC"/>
    <w:rsid w:val="00713CBC"/>
    <w:rsid w:val="007141B7"/>
    <w:rsid w:val="007143E9"/>
    <w:rsid w:val="007147D0"/>
    <w:rsid w:val="00714FF4"/>
    <w:rsid w:val="007151C1"/>
    <w:rsid w:val="007159F1"/>
    <w:rsid w:val="00715F7D"/>
    <w:rsid w:val="007169BE"/>
    <w:rsid w:val="007174EA"/>
    <w:rsid w:val="00720295"/>
    <w:rsid w:val="007203FC"/>
    <w:rsid w:val="00720852"/>
    <w:rsid w:val="00720FDE"/>
    <w:rsid w:val="00721714"/>
    <w:rsid w:val="00721A10"/>
    <w:rsid w:val="00721A5D"/>
    <w:rsid w:val="00721A67"/>
    <w:rsid w:val="00722ADF"/>
    <w:rsid w:val="00723838"/>
    <w:rsid w:val="00723AB9"/>
    <w:rsid w:val="00723FCD"/>
    <w:rsid w:val="00724302"/>
    <w:rsid w:val="00724764"/>
    <w:rsid w:val="00725B35"/>
    <w:rsid w:val="00727099"/>
    <w:rsid w:val="007276BD"/>
    <w:rsid w:val="0073032C"/>
    <w:rsid w:val="007309EC"/>
    <w:rsid w:val="0073112A"/>
    <w:rsid w:val="007324B7"/>
    <w:rsid w:val="00732EF4"/>
    <w:rsid w:val="007342F9"/>
    <w:rsid w:val="00735354"/>
    <w:rsid w:val="00735B93"/>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921"/>
    <w:rsid w:val="00754FAF"/>
    <w:rsid w:val="00755264"/>
    <w:rsid w:val="00755EBC"/>
    <w:rsid w:val="00756BE8"/>
    <w:rsid w:val="00757674"/>
    <w:rsid w:val="007602E4"/>
    <w:rsid w:val="0076107F"/>
    <w:rsid w:val="007616A9"/>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04"/>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8BC"/>
    <w:rsid w:val="00786D37"/>
    <w:rsid w:val="00790CBB"/>
    <w:rsid w:val="00790E98"/>
    <w:rsid w:val="00791ADD"/>
    <w:rsid w:val="007924B2"/>
    <w:rsid w:val="00793CA8"/>
    <w:rsid w:val="00794FE9"/>
    <w:rsid w:val="00795B50"/>
    <w:rsid w:val="0079663F"/>
    <w:rsid w:val="007971B8"/>
    <w:rsid w:val="0079792E"/>
    <w:rsid w:val="00797A48"/>
    <w:rsid w:val="007A076B"/>
    <w:rsid w:val="007A0ACE"/>
    <w:rsid w:val="007A0C08"/>
    <w:rsid w:val="007A14D8"/>
    <w:rsid w:val="007A1E79"/>
    <w:rsid w:val="007A2364"/>
    <w:rsid w:val="007A373B"/>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90"/>
    <w:rsid w:val="007B32EC"/>
    <w:rsid w:val="007B3372"/>
    <w:rsid w:val="007B44A3"/>
    <w:rsid w:val="007B478C"/>
    <w:rsid w:val="007B5573"/>
    <w:rsid w:val="007B5D82"/>
    <w:rsid w:val="007B620A"/>
    <w:rsid w:val="007B6ED6"/>
    <w:rsid w:val="007B79DA"/>
    <w:rsid w:val="007C0A8F"/>
    <w:rsid w:val="007C1FC8"/>
    <w:rsid w:val="007C383F"/>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44"/>
    <w:rsid w:val="007D5EFB"/>
    <w:rsid w:val="007D5FA8"/>
    <w:rsid w:val="007D63BD"/>
    <w:rsid w:val="007D6B2E"/>
    <w:rsid w:val="007D6E87"/>
    <w:rsid w:val="007D70CD"/>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032"/>
    <w:rsid w:val="0080332C"/>
    <w:rsid w:val="008033BB"/>
    <w:rsid w:val="008037C4"/>
    <w:rsid w:val="0080612F"/>
    <w:rsid w:val="00806331"/>
    <w:rsid w:val="008066D3"/>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17DA0"/>
    <w:rsid w:val="008205A4"/>
    <w:rsid w:val="0082079F"/>
    <w:rsid w:val="00820B32"/>
    <w:rsid w:val="0082189F"/>
    <w:rsid w:val="00821D42"/>
    <w:rsid w:val="00822303"/>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2787F"/>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4E5"/>
    <w:rsid w:val="00841B71"/>
    <w:rsid w:val="00841FCC"/>
    <w:rsid w:val="00842255"/>
    <w:rsid w:val="00843D0B"/>
    <w:rsid w:val="0084411F"/>
    <w:rsid w:val="008449C6"/>
    <w:rsid w:val="00844A79"/>
    <w:rsid w:val="00844C3D"/>
    <w:rsid w:val="00845A10"/>
    <w:rsid w:val="008463DA"/>
    <w:rsid w:val="008479FE"/>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2D0"/>
    <w:rsid w:val="0085592E"/>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02B4"/>
    <w:rsid w:val="008815DE"/>
    <w:rsid w:val="00882170"/>
    <w:rsid w:val="00882260"/>
    <w:rsid w:val="00882ED3"/>
    <w:rsid w:val="00883909"/>
    <w:rsid w:val="008839A7"/>
    <w:rsid w:val="00883B1C"/>
    <w:rsid w:val="00884093"/>
    <w:rsid w:val="00884312"/>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272"/>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3ECA"/>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586A"/>
    <w:rsid w:val="008E69C3"/>
    <w:rsid w:val="008E6A8D"/>
    <w:rsid w:val="008E7918"/>
    <w:rsid w:val="008E7E92"/>
    <w:rsid w:val="008F118F"/>
    <w:rsid w:val="008F1484"/>
    <w:rsid w:val="008F1578"/>
    <w:rsid w:val="008F15C1"/>
    <w:rsid w:val="008F2BAF"/>
    <w:rsid w:val="008F33A2"/>
    <w:rsid w:val="008F3481"/>
    <w:rsid w:val="008F39D3"/>
    <w:rsid w:val="008F4344"/>
    <w:rsid w:val="008F43AE"/>
    <w:rsid w:val="008F46E9"/>
    <w:rsid w:val="008F5067"/>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4FE"/>
    <w:rsid w:val="00942936"/>
    <w:rsid w:val="00943111"/>
    <w:rsid w:val="00943FB3"/>
    <w:rsid w:val="00944230"/>
    <w:rsid w:val="00944282"/>
    <w:rsid w:val="009442AE"/>
    <w:rsid w:val="009442E5"/>
    <w:rsid w:val="00944B13"/>
    <w:rsid w:val="00944FDD"/>
    <w:rsid w:val="00945602"/>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5773E"/>
    <w:rsid w:val="00960E2F"/>
    <w:rsid w:val="00961546"/>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DED"/>
    <w:rsid w:val="009A1040"/>
    <w:rsid w:val="009A16C9"/>
    <w:rsid w:val="009A179D"/>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34D"/>
    <w:rsid w:val="009C4AC6"/>
    <w:rsid w:val="009C5342"/>
    <w:rsid w:val="009C5ECA"/>
    <w:rsid w:val="009C64C1"/>
    <w:rsid w:val="009D0591"/>
    <w:rsid w:val="009D0C0B"/>
    <w:rsid w:val="009D0FB9"/>
    <w:rsid w:val="009D183E"/>
    <w:rsid w:val="009D2AE6"/>
    <w:rsid w:val="009D41BD"/>
    <w:rsid w:val="009D4630"/>
    <w:rsid w:val="009D4993"/>
    <w:rsid w:val="009D4B6A"/>
    <w:rsid w:val="009D4E25"/>
    <w:rsid w:val="009D5A9B"/>
    <w:rsid w:val="009D73E5"/>
    <w:rsid w:val="009D74C5"/>
    <w:rsid w:val="009D7503"/>
    <w:rsid w:val="009D768D"/>
    <w:rsid w:val="009D772D"/>
    <w:rsid w:val="009D79BB"/>
    <w:rsid w:val="009D7E45"/>
    <w:rsid w:val="009D7E72"/>
    <w:rsid w:val="009E088B"/>
    <w:rsid w:val="009E0E57"/>
    <w:rsid w:val="009E0FC2"/>
    <w:rsid w:val="009E2D1A"/>
    <w:rsid w:val="009E3233"/>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0CF"/>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6B0"/>
    <w:rsid w:val="00A1374C"/>
    <w:rsid w:val="00A14417"/>
    <w:rsid w:val="00A14BFF"/>
    <w:rsid w:val="00A14C94"/>
    <w:rsid w:val="00A14D51"/>
    <w:rsid w:val="00A1567E"/>
    <w:rsid w:val="00A1590E"/>
    <w:rsid w:val="00A169A2"/>
    <w:rsid w:val="00A174A0"/>
    <w:rsid w:val="00A17633"/>
    <w:rsid w:val="00A2048B"/>
    <w:rsid w:val="00A20970"/>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2F90"/>
    <w:rsid w:val="00A43837"/>
    <w:rsid w:val="00A438C1"/>
    <w:rsid w:val="00A43C15"/>
    <w:rsid w:val="00A445B9"/>
    <w:rsid w:val="00A445EC"/>
    <w:rsid w:val="00A44A34"/>
    <w:rsid w:val="00A44D3B"/>
    <w:rsid w:val="00A45072"/>
    <w:rsid w:val="00A45A11"/>
    <w:rsid w:val="00A45E96"/>
    <w:rsid w:val="00A4757A"/>
    <w:rsid w:val="00A47D94"/>
    <w:rsid w:val="00A516F6"/>
    <w:rsid w:val="00A5294A"/>
    <w:rsid w:val="00A52D92"/>
    <w:rsid w:val="00A535B1"/>
    <w:rsid w:val="00A53A3D"/>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526"/>
    <w:rsid w:val="00A62C3C"/>
    <w:rsid w:val="00A62F0A"/>
    <w:rsid w:val="00A63B6C"/>
    <w:rsid w:val="00A64A23"/>
    <w:rsid w:val="00A65653"/>
    <w:rsid w:val="00A6599E"/>
    <w:rsid w:val="00A65E02"/>
    <w:rsid w:val="00A65F35"/>
    <w:rsid w:val="00A67321"/>
    <w:rsid w:val="00A674AB"/>
    <w:rsid w:val="00A676B8"/>
    <w:rsid w:val="00A702E3"/>
    <w:rsid w:val="00A71435"/>
    <w:rsid w:val="00A7172E"/>
    <w:rsid w:val="00A71865"/>
    <w:rsid w:val="00A71DCD"/>
    <w:rsid w:val="00A72CF1"/>
    <w:rsid w:val="00A72DA6"/>
    <w:rsid w:val="00A73F56"/>
    <w:rsid w:val="00A740DE"/>
    <w:rsid w:val="00A741A6"/>
    <w:rsid w:val="00A74360"/>
    <w:rsid w:val="00A7479B"/>
    <w:rsid w:val="00A74AF5"/>
    <w:rsid w:val="00A75C59"/>
    <w:rsid w:val="00A76EBC"/>
    <w:rsid w:val="00A7731F"/>
    <w:rsid w:val="00A77A20"/>
    <w:rsid w:val="00A77C87"/>
    <w:rsid w:val="00A77CB1"/>
    <w:rsid w:val="00A8040D"/>
    <w:rsid w:val="00A8056B"/>
    <w:rsid w:val="00A80A22"/>
    <w:rsid w:val="00A8166A"/>
    <w:rsid w:val="00A81FE2"/>
    <w:rsid w:val="00A82498"/>
    <w:rsid w:val="00A8255A"/>
    <w:rsid w:val="00A825C6"/>
    <w:rsid w:val="00A82663"/>
    <w:rsid w:val="00A82990"/>
    <w:rsid w:val="00A83307"/>
    <w:rsid w:val="00A8365A"/>
    <w:rsid w:val="00A84219"/>
    <w:rsid w:val="00A849E8"/>
    <w:rsid w:val="00A84F50"/>
    <w:rsid w:val="00A85AD7"/>
    <w:rsid w:val="00A86445"/>
    <w:rsid w:val="00A86AFF"/>
    <w:rsid w:val="00A87868"/>
    <w:rsid w:val="00A90852"/>
    <w:rsid w:val="00A912E8"/>
    <w:rsid w:val="00A919EC"/>
    <w:rsid w:val="00A92670"/>
    <w:rsid w:val="00A93A8D"/>
    <w:rsid w:val="00A93D10"/>
    <w:rsid w:val="00A949DA"/>
    <w:rsid w:val="00A957F1"/>
    <w:rsid w:val="00A959F0"/>
    <w:rsid w:val="00A95C53"/>
    <w:rsid w:val="00A961F5"/>
    <w:rsid w:val="00A962FC"/>
    <w:rsid w:val="00A9686F"/>
    <w:rsid w:val="00A96A22"/>
    <w:rsid w:val="00A97B5C"/>
    <w:rsid w:val="00A97C1F"/>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102"/>
    <w:rsid w:val="00AB3A99"/>
    <w:rsid w:val="00AB3C0D"/>
    <w:rsid w:val="00AB3CBF"/>
    <w:rsid w:val="00AB3DDC"/>
    <w:rsid w:val="00AB4783"/>
    <w:rsid w:val="00AB4BA2"/>
    <w:rsid w:val="00AB5EB8"/>
    <w:rsid w:val="00AB6BE4"/>
    <w:rsid w:val="00AB717E"/>
    <w:rsid w:val="00AB77F7"/>
    <w:rsid w:val="00AB7EBB"/>
    <w:rsid w:val="00AC06A0"/>
    <w:rsid w:val="00AC076C"/>
    <w:rsid w:val="00AC12C3"/>
    <w:rsid w:val="00AC1D71"/>
    <w:rsid w:val="00AC2137"/>
    <w:rsid w:val="00AC2198"/>
    <w:rsid w:val="00AC2366"/>
    <w:rsid w:val="00AC2368"/>
    <w:rsid w:val="00AC28BF"/>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1E7E"/>
    <w:rsid w:val="00AE3D7F"/>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0F76"/>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9FB"/>
    <w:rsid w:val="00B21A5B"/>
    <w:rsid w:val="00B2249F"/>
    <w:rsid w:val="00B2260B"/>
    <w:rsid w:val="00B23E2C"/>
    <w:rsid w:val="00B249BA"/>
    <w:rsid w:val="00B24A39"/>
    <w:rsid w:val="00B257CC"/>
    <w:rsid w:val="00B258DF"/>
    <w:rsid w:val="00B30115"/>
    <w:rsid w:val="00B31187"/>
    <w:rsid w:val="00B317F1"/>
    <w:rsid w:val="00B31912"/>
    <w:rsid w:val="00B319A7"/>
    <w:rsid w:val="00B31B14"/>
    <w:rsid w:val="00B31E18"/>
    <w:rsid w:val="00B32202"/>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7C6"/>
    <w:rsid w:val="00B508B5"/>
    <w:rsid w:val="00B514E9"/>
    <w:rsid w:val="00B51E31"/>
    <w:rsid w:val="00B523F9"/>
    <w:rsid w:val="00B524D4"/>
    <w:rsid w:val="00B525AD"/>
    <w:rsid w:val="00B53023"/>
    <w:rsid w:val="00B5328F"/>
    <w:rsid w:val="00B545D0"/>
    <w:rsid w:val="00B54632"/>
    <w:rsid w:val="00B55388"/>
    <w:rsid w:val="00B5593D"/>
    <w:rsid w:val="00B5763D"/>
    <w:rsid w:val="00B57A22"/>
    <w:rsid w:val="00B60821"/>
    <w:rsid w:val="00B60C71"/>
    <w:rsid w:val="00B6162B"/>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775EB"/>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0B9B"/>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6178"/>
    <w:rsid w:val="00BB61A5"/>
    <w:rsid w:val="00BB711A"/>
    <w:rsid w:val="00BB7205"/>
    <w:rsid w:val="00BB7431"/>
    <w:rsid w:val="00BB76EE"/>
    <w:rsid w:val="00BC0791"/>
    <w:rsid w:val="00BC0FA4"/>
    <w:rsid w:val="00BC0FD0"/>
    <w:rsid w:val="00BC12B0"/>
    <w:rsid w:val="00BC1329"/>
    <w:rsid w:val="00BC1BAE"/>
    <w:rsid w:val="00BC3CFC"/>
    <w:rsid w:val="00BC3E6B"/>
    <w:rsid w:val="00BC4E2C"/>
    <w:rsid w:val="00BC5409"/>
    <w:rsid w:val="00BC57F5"/>
    <w:rsid w:val="00BC5A3A"/>
    <w:rsid w:val="00BC5A5C"/>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4EF8"/>
    <w:rsid w:val="00BD6609"/>
    <w:rsid w:val="00BD6B3D"/>
    <w:rsid w:val="00BD7C54"/>
    <w:rsid w:val="00BD7DC6"/>
    <w:rsid w:val="00BE042E"/>
    <w:rsid w:val="00BE0508"/>
    <w:rsid w:val="00BE17C4"/>
    <w:rsid w:val="00BE1C96"/>
    <w:rsid w:val="00BE381F"/>
    <w:rsid w:val="00BE4193"/>
    <w:rsid w:val="00BE43D9"/>
    <w:rsid w:val="00BE534B"/>
    <w:rsid w:val="00BE58FA"/>
    <w:rsid w:val="00BE5C5E"/>
    <w:rsid w:val="00BE6288"/>
    <w:rsid w:val="00BE6975"/>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087"/>
    <w:rsid w:val="00C0440B"/>
    <w:rsid w:val="00C05668"/>
    <w:rsid w:val="00C059E3"/>
    <w:rsid w:val="00C0772B"/>
    <w:rsid w:val="00C10DDB"/>
    <w:rsid w:val="00C11484"/>
    <w:rsid w:val="00C1241F"/>
    <w:rsid w:val="00C126DE"/>
    <w:rsid w:val="00C131FD"/>
    <w:rsid w:val="00C14300"/>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19A4"/>
    <w:rsid w:val="00C32502"/>
    <w:rsid w:val="00C330C6"/>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71"/>
    <w:rsid w:val="00C45AE6"/>
    <w:rsid w:val="00C45DA4"/>
    <w:rsid w:val="00C46E45"/>
    <w:rsid w:val="00C4709A"/>
    <w:rsid w:val="00C475D7"/>
    <w:rsid w:val="00C506E5"/>
    <w:rsid w:val="00C518FA"/>
    <w:rsid w:val="00C52531"/>
    <w:rsid w:val="00C52B9B"/>
    <w:rsid w:val="00C52F7A"/>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5D7A"/>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0EAB"/>
    <w:rsid w:val="00CA1657"/>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075D"/>
    <w:rsid w:val="00CC12FB"/>
    <w:rsid w:val="00CC143E"/>
    <w:rsid w:val="00CC1AD9"/>
    <w:rsid w:val="00CC4F5E"/>
    <w:rsid w:val="00CC5832"/>
    <w:rsid w:val="00CC59C0"/>
    <w:rsid w:val="00CC74F9"/>
    <w:rsid w:val="00CD05C5"/>
    <w:rsid w:val="00CD0D84"/>
    <w:rsid w:val="00CD0F52"/>
    <w:rsid w:val="00CD3187"/>
    <w:rsid w:val="00CD4635"/>
    <w:rsid w:val="00CD4874"/>
    <w:rsid w:val="00CD560E"/>
    <w:rsid w:val="00CD6222"/>
    <w:rsid w:val="00CD631F"/>
    <w:rsid w:val="00CD64E5"/>
    <w:rsid w:val="00CD720B"/>
    <w:rsid w:val="00CD730D"/>
    <w:rsid w:val="00CD76CA"/>
    <w:rsid w:val="00CD7E7E"/>
    <w:rsid w:val="00CE0195"/>
    <w:rsid w:val="00CE0256"/>
    <w:rsid w:val="00CE086A"/>
    <w:rsid w:val="00CE1435"/>
    <w:rsid w:val="00CE1930"/>
    <w:rsid w:val="00CE1B46"/>
    <w:rsid w:val="00CE1B6D"/>
    <w:rsid w:val="00CE1B9E"/>
    <w:rsid w:val="00CE2CFF"/>
    <w:rsid w:val="00CE2F22"/>
    <w:rsid w:val="00CE310B"/>
    <w:rsid w:val="00CE3189"/>
    <w:rsid w:val="00CE3234"/>
    <w:rsid w:val="00CE39E6"/>
    <w:rsid w:val="00CE4590"/>
    <w:rsid w:val="00CE5102"/>
    <w:rsid w:val="00CE67C7"/>
    <w:rsid w:val="00CE7084"/>
    <w:rsid w:val="00CE7782"/>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0CB3"/>
    <w:rsid w:val="00D2160A"/>
    <w:rsid w:val="00D226ED"/>
    <w:rsid w:val="00D248BC"/>
    <w:rsid w:val="00D25170"/>
    <w:rsid w:val="00D25415"/>
    <w:rsid w:val="00D26521"/>
    <w:rsid w:val="00D27058"/>
    <w:rsid w:val="00D27A63"/>
    <w:rsid w:val="00D3004D"/>
    <w:rsid w:val="00D3080F"/>
    <w:rsid w:val="00D31396"/>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84B"/>
    <w:rsid w:val="00D45F6E"/>
    <w:rsid w:val="00D4628D"/>
    <w:rsid w:val="00D462DD"/>
    <w:rsid w:val="00D46724"/>
    <w:rsid w:val="00D46B44"/>
    <w:rsid w:val="00D46F86"/>
    <w:rsid w:val="00D47D6F"/>
    <w:rsid w:val="00D5003F"/>
    <w:rsid w:val="00D5006A"/>
    <w:rsid w:val="00D501D9"/>
    <w:rsid w:val="00D50383"/>
    <w:rsid w:val="00D5171C"/>
    <w:rsid w:val="00D51AE7"/>
    <w:rsid w:val="00D51B07"/>
    <w:rsid w:val="00D532D0"/>
    <w:rsid w:val="00D53733"/>
    <w:rsid w:val="00D53837"/>
    <w:rsid w:val="00D53944"/>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965"/>
    <w:rsid w:val="00D75C71"/>
    <w:rsid w:val="00D7658A"/>
    <w:rsid w:val="00D7681C"/>
    <w:rsid w:val="00D76CD9"/>
    <w:rsid w:val="00D77925"/>
    <w:rsid w:val="00D8041A"/>
    <w:rsid w:val="00D806D6"/>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3F52"/>
    <w:rsid w:val="00D947AC"/>
    <w:rsid w:val="00D94A0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C2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AA3"/>
    <w:rsid w:val="00DC6D93"/>
    <w:rsid w:val="00DC720E"/>
    <w:rsid w:val="00DC746B"/>
    <w:rsid w:val="00DC78E2"/>
    <w:rsid w:val="00DD019C"/>
    <w:rsid w:val="00DD12E4"/>
    <w:rsid w:val="00DD21E8"/>
    <w:rsid w:val="00DD2382"/>
    <w:rsid w:val="00DD3D7E"/>
    <w:rsid w:val="00DD4195"/>
    <w:rsid w:val="00DD46C9"/>
    <w:rsid w:val="00DD4916"/>
    <w:rsid w:val="00DD4E40"/>
    <w:rsid w:val="00DD62F7"/>
    <w:rsid w:val="00DD6D0F"/>
    <w:rsid w:val="00DD7E36"/>
    <w:rsid w:val="00DE0554"/>
    <w:rsid w:val="00DE0581"/>
    <w:rsid w:val="00DE08C3"/>
    <w:rsid w:val="00DE1D6D"/>
    <w:rsid w:val="00DE1F1A"/>
    <w:rsid w:val="00DE3090"/>
    <w:rsid w:val="00DE33D0"/>
    <w:rsid w:val="00DE43F6"/>
    <w:rsid w:val="00DE48FE"/>
    <w:rsid w:val="00DE4C27"/>
    <w:rsid w:val="00DE7C98"/>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6198"/>
    <w:rsid w:val="00E070CC"/>
    <w:rsid w:val="00E079C9"/>
    <w:rsid w:val="00E10883"/>
    <w:rsid w:val="00E10A3B"/>
    <w:rsid w:val="00E11B6E"/>
    <w:rsid w:val="00E12143"/>
    <w:rsid w:val="00E127D3"/>
    <w:rsid w:val="00E139B8"/>
    <w:rsid w:val="00E14619"/>
    <w:rsid w:val="00E149FC"/>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2A9D"/>
    <w:rsid w:val="00E23B9B"/>
    <w:rsid w:val="00E241A2"/>
    <w:rsid w:val="00E25050"/>
    <w:rsid w:val="00E26542"/>
    <w:rsid w:val="00E265DF"/>
    <w:rsid w:val="00E269E5"/>
    <w:rsid w:val="00E2707A"/>
    <w:rsid w:val="00E273FA"/>
    <w:rsid w:val="00E307CA"/>
    <w:rsid w:val="00E30871"/>
    <w:rsid w:val="00E30C7E"/>
    <w:rsid w:val="00E30CF9"/>
    <w:rsid w:val="00E314CB"/>
    <w:rsid w:val="00E31A86"/>
    <w:rsid w:val="00E31F20"/>
    <w:rsid w:val="00E3290D"/>
    <w:rsid w:val="00E3313D"/>
    <w:rsid w:val="00E33859"/>
    <w:rsid w:val="00E33AEC"/>
    <w:rsid w:val="00E35A1A"/>
    <w:rsid w:val="00E360A1"/>
    <w:rsid w:val="00E3671F"/>
    <w:rsid w:val="00E37485"/>
    <w:rsid w:val="00E40B98"/>
    <w:rsid w:val="00E40CD5"/>
    <w:rsid w:val="00E40D8F"/>
    <w:rsid w:val="00E42D4D"/>
    <w:rsid w:val="00E441C2"/>
    <w:rsid w:val="00E4438A"/>
    <w:rsid w:val="00E445CA"/>
    <w:rsid w:val="00E45339"/>
    <w:rsid w:val="00E46776"/>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66AEB"/>
    <w:rsid w:val="00E66D0B"/>
    <w:rsid w:val="00E7078C"/>
    <w:rsid w:val="00E70FB4"/>
    <w:rsid w:val="00E715C0"/>
    <w:rsid w:val="00E71C46"/>
    <w:rsid w:val="00E71C54"/>
    <w:rsid w:val="00E71EE3"/>
    <w:rsid w:val="00E7385D"/>
    <w:rsid w:val="00E739D2"/>
    <w:rsid w:val="00E73AD7"/>
    <w:rsid w:val="00E752DE"/>
    <w:rsid w:val="00E75F55"/>
    <w:rsid w:val="00E76A74"/>
    <w:rsid w:val="00E777C1"/>
    <w:rsid w:val="00E80292"/>
    <w:rsid w:val="00E806AF"/>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2E02"/>
    <w:rsid w:val="00E9352A"/>
    <w:rsid w:val="00E9454B"/>
    <w:rsid w:val="00E95807"/>
    <w:rsid w:val="00E95D65"/>
    <w:rsid w:val="00E96473"/>
    <w:rsid w:val="00E971D9"/>
    <w:rsid w:val="00E978C7"/>
    <w:rsid w:val="00EA0AAE"/>
    <w:rsid w:val="00EA0AC5"/>
    <w:rsid w:val="00EA0E43"/>
    <w:rsid w:val="00EA15E3"/>
    <w:rsid w:val="00EA1D1D"/>
    <w:rsid w:val="00EA2273"/>
    <w:rsid w:val="00EA22AC"/>
    <w:rsid w:val="00EA2461"/>
    <w:rsid w:val="00EA2611"/>
    <w:rsid w:val="00EA2984"/>
    <w:rsid w:val="00EA3B3D"/>
    <w:rsid w:val="00EA5A8C"/>
    <w:rsid w:val="00EA6866"/>
    <w:rsid w:val="00EA6957"/>
    <w:rsid w:val="00EA6A69"/>
    <w:rsid w:val="00EA6E55"/>
    <w:rsid w:val="00EA7413"/>
    <w:rsid w:val="00EB0251"/>
    <w:rsid w:val="00EB0323"/>
    <w:rsid w:val="00EB0CB4"/>
    <w:rsid w:val="00EB0D1F"/>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3A"/>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D76EA"/>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206"/>
    <w:rsid w:val="00F06C27"/>
    <w:rsid w:val="00F073F2"/>
    <w:rsid w:val="00F077E9"/>
    <w:rsid w:val="00F108BF"/>
    <w:rsid w:val="00F10F4E"/>
    <w:rsid w:val="00F121EE"/>
    <w:rsid w:val="00F1223D"/>
    <w:rsid w:val="00F1228B"/>
    <w:rsid w:val="00F13831"/>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296F"/>
    <w:rsid w:val="00F2407E"/>
    <w:rsid w:val="00F24113"/>
    <w:rsid w:val="00F2430D"/>
    <w:rsid w:val="00F25361"/>
    <w:rsid w:val="00F25AFE"/>
    <w:rsid w:val="00F27076"/>
    <w:rsid w:val="00F271EE"/>
    <w:rsid w:val="00F301F9"/>
    <w:rsid w:val="00F30CD2"/>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7AB"/>
    <w:rsid w:val="00F70CC7"/>
    <w:rsid w:val="00F711E3"/>
    <w:rsid w:val="00F7142E"/>
    <w:rsid w:val="00F7260E"/>
    <w:rsid w:val="00F7316D"/>
    <w:rsid w:val="00F7341E"/>
    <w:rsid w:val="00F73F76"/>
    <w:rsid w:val="00F752AF"/>
    <w:rsid w:val="00F76401"/>
    <w:rsid w:val="00F774E9"/>
    <w:rsid w:val="00F803FB"/>
    <w:rsid w:val="00F806E1"/>
    <w:rsid w:val="00F818ED"/>
    <w:rsid w:val="00F8193B"/>
    <w:rsid w:val="00F81D5F"/>
    <w:rsid w:val="00F823DC"/>
    <w:rsid w:val="00F82428"/>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B5C"/>
    <w:rsid w:val="00F93DA3"/>
    <w:rsid w:val="00F9441F"/>
    <w:rsid w:val="00F94D8B"/>
    <w:rsid w:val="00F95718"/>
    <w:rsid w:val="00F95952"/>
    <w:rsid w:val="00F95E64"/>
    <w:rsid w:val="00F95F99"/>
    <w:rsid w:val="00F9635F"/>
    <w:rsid w:val="00F967F7"/>
    <w:rsid w:val="00F9735A"/>
    <w:rsid w:val="00F97F48"/>
    <w:rsid w:val="00FA041C"/>
    <w:rsid w:val="00FA0C62"/>
    <w:rsid w:val="00FA1FB1"/>
    <w:rsid w:val="00FA2056"/>
    <w:rsid w:val="00FA208E"/>
    <w:rsid w:val="00FA2F24"/>
    <w:rsid w:val="00FA30AE"/>
    <w:rsid w:val="00FA36BC"/>
    <w:rsid w:val="00FA3832"/>
    <w:rsid w:val="00FA3A5A"/>
    <w:rsid w:val="00FA3B39"/>
    <w:rsid w:val="00FA4291"/>
    <w:rsid w:val="00FA4845"/>
    <w:rsid w:val="00FA4DE2"/>
    <w:rsid w:val="00FA5848"/>
    <w:rsid w:val="00FA5AC4"/>
    <w:rsid w:val="00FA6671"/>
    <w:rsid w:val="00FA703B"/>
    <w:rsid w:val="00FA7082"/>
    <w:rsid w:val="00FA721B"/>
    <w:rsid w:val="00FA78A8"/>
    <w:rsid w:val="00FA7C91"/>
    <w:rsid w:val="00FA7D95"/>
    <w:rsid w:val="00FB0770"/>
    <w:rsid w:val="00FB0F41"/>
    <w:rsid w:val="00FB2013"/>
    <w:rsid w:val="00FB21C8"/>
    <w:rsid w:val="00FB2FE7"/>
    <w:rsid w:val="00FB3C24"/>
    <w:rsid w:val="00FB42F1"/>
    <w:rsid w:val="00FB46C9"/>
    <w:rsid w:val="00FB488C"/>
    <w:rsid w:val="00FB5368"/>
    <w:rsid w:val="00FB5529"/>
    <w:rsid w:val="00FB5ABF"/>
    <w:rsid w:val="00FB618D"/>
    <w:rsid w:val="00FB69DC"/>
    <w:rsid w:val="00FB7927"/>
    <w:rsid w:val="00FC0507"/>
    <w:rsid w:val="00FC0B0D"/>
    <w:rsid w:val="00FC0E0B"/>
    <w:rsid w:val="00FC11EC"/>
    <w:rsid w:val="00FC2319"/>
    <w:rsid w:val="00FC2693"/>
    <w:rsid w:val="00FC34F5"/>
    <w:rsid w:val="00FC40DE"/>
    <w:rsid w:val="00FC4C86"/>
    <w:rsid w:val="00FC4CAA"/>
    <w:rsid w:val="00FC5610"/>
    <w:rsid w:val="00FC5B4B"/>
    <w:rsid w:val="00FC607C"/>
    <w:rsid w:val="00FC6489"/>
    <w:rsid w:val="00FC67D9"/>
    <w:rsid w:val="00FC6ABA"/>
    <w:rsid w:val="00FC6FD3"/>
    <w:rsid w:val="00FC775C"/>
    <w:rsid w:val="00FC79C3"/>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587"/>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4F15"/>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2202"/>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qFormat/>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85B1B-0D01-4079-A036-A6D9891D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1356</Words>
  <Characters>7734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18</cp:revision>
  <dcterms:created xsi:type="dcterms:W3CDTF">2021-10-22T02:32:00Z</dcterms:created>
  <dcterms:modified xsi:type="dcterms:W3CDTF">2021-11-05T05:46:00Z</dcterms:modified>
</cp:coreProperties>
</file>